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pPr>
    </w:p>
    <w:p>
      <w:pPr>
        <w:spacing w:line="600" w:lineRule="atLeast"/>
      </w:pPr>
    </w:p>
    <w:p>
      <w:pPr>
        <w:spacing w:line="600" w:lineRule="atLeast"/>
      </w:pPr>
      <w:r>
        <w:pict>
          <v:shape id="_x0000_s1026" o:spid="_x0000_s1026" o:spt="136" type="#_x0000_t136" style="position:absolute;left:0pt;margin-left:1.5pt;margin-top:18pt;height:56.7pt;width:439.35pt;z-index:251659264;mso-width-relative:page;mso-height-relative:page;" fillcolor="#FF0000" filled="t" stroked="t" coordsize="21600,21600">
            <v:path/>
            <v:fill on="t" focussize="0,0"/>
            <v:stroke color="#FF0000"/>
            <v:imagedata o:title=""/>
            <o:lock v:ext="edit"/>
            <v:textpath on="t" fitpath="t" trim="t" xscale="f" string="安  远  县  人  民  政  府" style="font-family:方正小标宋简体;font-size:32pt;v-text-align:center;"/>
          </v:shape>
        </w:pict>
      </w:r>
    </w:p>
    <w:p>
      <w:pPr>
        <w:spacing w:line="600" w:lineRule="atLeast"/>
      </w:pPr>
    </w:p>
    <w:p>
      <w:pPr>
        <w:spacing w:line="600" w:lineRule="atLeast"/>
      </w:pPr>
    </w:p>
    <w:p>
      <w:pPr>
        <w:spacing w:line="520" w:lineRule="exact"/>
        <w:rPr>
          <w:rFonts w:eastAsia="仿宋_GB2312"/>
          <w:sz w:val="32"/>
          <w:szCs w:val="32"/>
        </w:rPr>
      </w:pPr>
    </w:p>
    <w:p>
      <w:pPr>
        <w:spacing w:line="520" w:lineRule="exact"/>
        <w:rPr>
          <w:rFonts w:eastAsia="仿宋_GB2312"/>
          <w:sz w:val="32"/>
          <w:szCs w:val="32"/>
        </w:rPr>
      </w:pPr>
    </w:p>
    <w:p>
      <w:pPr>
        <w:spacing w:line="520" w:lineRule="exact"/>
        <w:jc w:val="center"/>
        <w:rPr>
          <w:rFonts w:eastAsia="仿宋_GB2312"/>
          <w:sz w:val="32"/>
          <w:szCs w:val="32"/>
        </w:rPr>
      </w:pPr>
      <w:r>
        <w:rPr>
          <w:rFonts w:eastAsia="仿宋_GB2312"/>
          <w:sz w:val="32"/>
          <w:szCs w:val="32"/>
        </w:rPr>
        <w:t>安府字〔2023〕17号</w:t>
      </w:r>
    </w:p>
    <w:p>
      <w:pPr>
        <w:spacing w:line="80" w:lineRule="exact"/>
      </w:pPr>
      <w:r>
        <w:pict>
          <v:line id="_x0000_s1027" o:spid="_x0000_s1027" o:spt="20" style="position:absolute;left:0pt;margin-left:1.5pt;margin-top:6pt;height:0pt;width:442.2pt;z-index:251660288;mso-width-relative:page;mso-height-relative:page;" stroked="t" coordsize="21600,21600">
            <v:path arrowok="t"/>
            <v:fill focussize="0,0"/>
            <v:stroke weight="2pt" color="#FF0000"/>
            <v:imagedata o:title=""/>
            <o:lock v:ext="edit"/>
          </v:line>
        </w:pict>
      </w:r>
    </w:p>
    <w:p>
      <w:pPr>
        <w:spacing w:line="560" w:lineRule="exact"/>
      </w:pPr>
    </w:p>
    <w:p>
      <w:pPr>
        <w:spacing w:line="560" w:lineRule="exact"/>
      </w:pPr>
    </w:p>
    <w:p>
      <w:pPr>
        <w:spacing w:line="540" w:lineRule="exact"/>
        <w:jc w:val="center"/>
        <w:rPr>
          <w:rFonts w:eastAsia="方正小标宋简体"/>
          <w:sz w:val="44"/>
          <w:szCs w:val="44"/>
        </w:rPr>
      </w:pPr>
      <w:r>
        <w:rPr>
          <w:rFonts w:eastAsia="方正小标宋简体"/>
          <w:sz w:val="44"/>
          <w:szCs w:val="44"/>
        </w:rPr>
        <w:t>安远县人民政府</w:t>
      </w:r>
    </w:p>
    <w:p>
      <w:pPr>
        <w:spacing w:line="540" w:lineRule="exact"/>
        <w:jc w:val="center"/>
        <w:rPr>
          <w:rFonts w:eastAsia="方正小标宋简体"/>
          <w:sz w:val="44"/>
          <w:szCs w:val="44"/>
        </w:rPr>
      </w:pPr>
      <w:r>
        <w:rPr>
          <w:rFonts w:eastAsia="方正小标宋简体"/>
          <w:sz w:val="44"/>
          <w:szCs w:val="44"/>
        </w:rPr>
        <w:t>关于印发《安远县2023年国民经济和社会发展计划》的通知</w:t>
      </w:r>
    </w:p>
    <w:p>
      <w:pPr>
        <w:spacing w:line="540" w:lineRule="exact"/>
        <w:jc w:val="center"/>
        <w:rPr>
          <w:rFonts w:eastAsia="仿宋_GB2312"/>
          <w:sz w:val="32"/>
          <w:szCs w:val="32"/>
        </w:rPr>
      </w:pPr>
    </w:p>
    <w:p>
      <w:pPr>
        <w:spacing w:line="540" w:lineRule="exact"/>
        <w:rPr>
          <w:rFonts w:eastAsia="仿宋_GB2312"/>
          <w:sz w:val="32"/>
          <w:szCs w:val="32"/>
        </w:rPr>
      </w:pPr>
      <w:r>
        <w:rPr>
          <w:rFonts w:eastAsia="仿宋_GB2312"/>
          <w:sz w:val="32"/>
          <w:szCs w:val="32"/>
        </w:rPr>
        <w:t>各乡（镇）人民政府、城市社区管委会，县政府各部门，直属及驻县各单位：</w:t>
      </w:r>
    </w:p>
    <w:p>
      <w:pPr>
        <w:spacing w:line="540" w:lineRule="exact"/>
        <w:ind w:firstLine="640" w:firstLineChars="200"/>
        <w:rPr>
          <w:rFonts w:eastAsia="仿宋_GB2312"/>
          <w:sz w:val="32"/>
          <w:szCs w:val="32"/>
        </w:rPr>
      </w:pPr>
      <w:r>
        <w:rPr>
          <w:rFonts w:eastAsia="仿宋_GB2312"/>
          <w:sz w:val="32"/>
          <w:szCs w:val="32"/>
        </w:rPr>
        <w:t>《安远县2023年国民经济和社会发展计划》已经第十八届县政府第22次常务会议、第十五届县委常委会第27次会议研究同意，并经县十八届人大三次会议审议通过，现印发给你们，请结合实际，认真抓好组织实施。</w:t>
      </w:r>
    </w:p>
    <w:p>
      <w:pPr>
        <w:pStyle w:val="7"/>
        <w:rPr>
          <w:rFonts w:ascii="Times New Roman" w:hAnsi="Times New Roman"/>
        </w:rPr>
      </w:pPr>
      <w:r>
        <w:rPr>
          <w:rFonts w:ascii="Times New Roman" w:hAnsi="Times New Roman"/>
        </w:rPr>
        <w:pict>
          <v:shape id="_x0000_s1030" o:spid="_x0000_s1030" o:spt="201" type="#_x0000_t201" style="position:absolute;left:0pt;margin-left:325.1pt;margin-top:619.45pt;height:133.5pt;width:132.75pt;mso-position-horizontal-relative:page;mso-position-vertical-relative:page;z-index:-251653120;mso-width-relative:page;mso-height-relative:page;" o:ole="t" filled="f" stroked="f" coordsize="21600,21600">
            <v:path/>
            <v:fill on="f" focussize="0,0"/>
            <v:stroke on="f" joinstyle="miter"/>
            <v:imagedata r:id="rId13" o:title=""/>
            <o:lock v:ext="edit"/>
          </v:shape>
          <w:control r:id="rId12" w:name="SignatureCtrl1" w:shapeid="_x0000_s1030"/>
        </w:pict>
      </w:r>
    </w:p>
    <w:p>
      <w:pPr>
        <w:autoSpaceDE w:val="0"/>
        <w:spacing w:line="500" w:lineRule="exact"/>
        <w:ind w:firstLine="5120" w:firstLineChars="1600"/>
        <w:rPr>
          <w:rFonts w:eastAsia="仿宋_GB2312"/>
          <w:sz w:val="32"/>
          <w:szCs w:val="32"/>
        </w:rPr>
      </w:pPr>
      <w:r>
        <w:rPr>
          <w:rFonts w:eastAsia="仿宋_GB2312"/>
          <w:sz w:val="32"/>
          <w:szCs w:val="32"/>
        </w:rPr>
        <w:t>安远县人民政府</w:t>
      </w:r>
    </w:p>
    <w:p>
      <w:pPr>
        <w:autoSpaceDE w:val="0"/>
        <w:spacing w:line="560" w:lineRule="exact"/>
        <w:ind w:firstLine="5120" w:firstLineChars="1600"/>
        <w:rPr>
          <w:szCs w:val="21"/>
        </w:rPr>
      </w:pPr>
      <w:r>
        <w:rPr>
          <w:rFonts w:eastAsia="仿宋_GB2312"/>
          <w:sz w:val="32"/>
          <w:szCs w:val="32"/>
        </w:rPr>
        <w:t>2023年4月7日</w:t>
      </w:r>
    </w:p>
    <w:p>
      <w:pPr>
        <w:jc w:val="center"/>
        <w:rPr>
          <w:rFonts w:hint="eastAsia" w:ascii="方正小标宋简体" w:eastAsia="方正小标宋简体"/>
          <w:sz w:val="44"/>
          <w:szCs w:val="44"/>
        </w:rPr>
      </w:pPr>
      <w:r>
        <w:rPr>
          <w:rFonts w:hint="eastAsia" w:ascii="方正小标宋简体" w:eastAsia="方正小标宋简体"/>
          <w:sz w:val="44"/>
          <w:szCs w:val="44"/>
        </w:rPr>
        <w:t>安远县2023年国民经济和社会发展计划</w:t>
      </w:r>
    </w:p>
    <w:p>
      <w:pPr>
        <w:pStyle w:val="4"/>
        <w:adjustRightInd w:val="0"/>
        <w:snapToGrid w:val="0"/>
        <w:spacing w:line="560" w:lineRule="exact"/>
        <w:jc w:val="center"/>
        <w:rPr>
          <w:rFonts w:eastAsia="仿宋_GB2312"/>
          <w:sz w:val="32"/>
          <w:szCs w:val="32"/>
        </w:rPr>
      </w:pPr>
    </w:p>
    <w:p>
      <w:pPr>
        <w:spacing w:line="560" w:lineRule="exact"/>
        <w:ind w:firstLine="640" w:firstLineChars="200"/>
        <w:rPr>
          <w:rFonts w:eastAsia="黑体"/>
          <w:kern w:val="0"/>
          <w:sz w:val="32"/>
          <w:szCs w:val="44"/>
        </w:rPr>
      </w:pPr>
      <w:r>
        <w:rPr>
          <w:rFonts w:eastAsia="仿宋_GB2312"/>
          <w:kern w:val="0"/>
          <w:sz w:val="32"/>
          <w:szCs w:val="44"/>
        </w:rPr>
        <w:t>2023年是全面贯彻落实党的二十大精神开局之年，也是“十四五”规划中期评估之年，</w:t>
      </w:r>
      <w:r>
        <w:rPr>
          <w:rFonts w:eastAsia="仿宋_GB2312"/>
          <w:sz w:val="32"/>
          <w:szCs w:val="32"/>
        </w:rPr>
        <w:t>做好明年经济社会发展工作意义重大。县十八届人大三次会议确定，2023年全县经济社会发展工作的总体要求是：</w:t>
      </w:r>
      <w:r>
        <w:rPr>
          <w:rFonts w:eastAsia="黑体"/>
          <w:sz w:val="32"/>
          <w:szCs w:val="32"/>
        </w:rPr>
        <w:t>坚持以习近平新时代中国特色社会主义思想为指导，全面贯彻落实党的二十大精神，深入贯彻习近平总书记视察江西和赣州重要讲话精神，认真落实中央经济工作会议、省委十五届三次全会、省委经济工作会议、省“两会”、市委六届四次全会、市“两会”及县委十五届三次全会精神，坚持稳中求进工作总基调，完整、准确、全面贯彻新发展理念，更好地统筹发展与安全，全力推进“三大战略、八大行动”，聚焦产业、投资、项目、民生、改革、安全、党建七项重点，持续打造大湾区“一园三子”，奋力开启“融入湾区发展、精雕东江翡翠”新征程，谱写全面建设社会主义现代化安远新篇章，为加快建设革命老区高质量发展示范区贡献安远力量。</w:t>
      </w:r>
    </w:p>
    <w:p>
      <w:pPr>
        <w:pStyle w:val="4"/>
        <w:adjustRightInd w:val="0"/>
        <w:snapToGrid w:val="0"/>
        <w:spacing w:line="560" w:lineRule="exact"/>
        <w:ind w:firstLine="640" w:firstLineChars="200"/>
        <w:rPr>
          <w:rFonts w:eastAsia="仿宋_GB2312"/>
          <w:sz w:val="32"/>
          <w:szCs w:val="32"/>
        </w:rPr>
      </w:pPr>
      <w:r>
        <w:rPr>
          <w:rFonts w:eastAsia="仿宋_GB2312"/>
          <w:sz w:val="32"/>
          <w:szCs w:val="32"/>
        </w:rPr>
        <w:t>2023年全县经济社会发展的主要预期目标是：</w:t>
      </w:r>
      <w:r>
        <w:rPr>
          <w:rFonts w:eastAsia="黑体"/>
          <w:sz w:val="32"/>
          <w:szCs w:val="32"/>
        </w:rPr>
        <w:t>地区生产总值增长7.5%左右，规模以上工业增加值增长8.7%以上，一般公共预算收入增长4%左右，固定资产投资增长12%以上，社会消费品零售总额增长8.6%左右，实际利用省外2000万元以上项目资金增长8.7%以上，实际使用外商直接投资额稳中有进，出口总额稳中提质，城镇、农村居民人均可支配收入分别增长8%、10%左右，节能减排完成上级下达任务。</w:t>
      </w:r>
      <w:r>
        <w:rPr>
          <w:rFonts w:eastAsia="仿宋_GB2312"/>
          <w:sz w:val="32"/>
          <w:szCs w:val="32"/>
        </w:rPr>
        <w:t>围绕完成计划提出的各项目标，重点抓好五个方面工作：</w:t>
      </w:r>
    </w:p>
    <w:p>
      <w:pPr>
        <w:spacing w:line="560" w:lineRule="exact"/>
        <w:ind w:firstLine="640" w:firstLineChars="200"/>
        <w:outlineLvl w:val="0"/>
        <w:rPr>
          <w:rFonts w:eastAsia="黑体"/>
          <w:sz w:val="32"/>
          <w:szCs w:val="32"/>
        </w:rPr>
      </w:pPr>
      <w:r>
        <w:rPr>
          <w:rFonts w:eastAsia="黑体"/>
          <w:sz w:val="32"/>
          <w:szCs w:val="32"/>
        </w:rPr>
        <w:t>一、聚力提质增效扩量，加快构建现代产业体系</w:t>
      </w:r>
    </w:p>
    <w:p>
      <w:pPr>
        <w:widowControl/>
        <w:spacing w:line="560" w:lineRule="exact"/>
        <w:ind w:firstLine="643" w:firstLineChars="200"/>
        <w:rPr>
          <w:rFonts w:eastAsia="仿宋_GB2312"/>
          <w:sz w:val="32"/>
          <w:szCs w:val="32"/>
        </w:rPr>
      </w:pPr>
      <w:r>
        <w:rPr>
          <w:rFonts w:eastAsia="楷体_GB2312"/>
          <w:b/>
          <w:bCs/>
          <w:sz w:val="32"/>
          <w:szCs w:val="32"/>
        </w:rPr>
        <w:t>（一）加快工业倍增升级。</w:t>
      </w:r>
      <w:r>
        <w:rPr>
          <w:rFonts w:eastAsia="仿宋_GB2312"/>
          <w:sz w:val="32"/>
          <w:szCs w:val="32"/>
        </w:rPr>
        <w:t>深入实施产业链链长制升级版，聚焦“1+3”产业，着力补链强链延链，确保全面完成工业倍增升级三年行动目标任务。实施工业领域重点项目24个、年度计划投资88.2亿元，开工金霖塑料、奕鸿铜加工、涂百年建材等18个项目，竣工投产志合显示屏盖板等11个项目。加强企业梯次培</w:t>
      </w:r>
      <w:bookmarkStart w:id="0" w:name="_GoBack"/>
      <w:bookmarkEnd w:id="0"/>
      <w:r>
        <w:rPr>
          <w:rFonts w:eastAsia="仿宋_GB2312"/>
          <w:sz w:val="32"/>
          <w:szCs w:val="32"/>
        </w:rPr>
        <w:t>育，加快荣晖、得辉达等企业上市进程，新入规工业企业20家以上，新培育营收过10亿企业1家以上。深入实施集群式项目“满园扩园”行动，推进园区“腾笼换鸟”，力争规上工业营收、园区营收均突破百亿大关，电子信息产业申报纳入省级培育类重点产业集群。</w:t>
      </w:r>
    </w:p>
    <w:p>
      <w:pPr>
        <w:tabs>
          <w:tab w:val="left" w:pos="1575"/>
        </w:tabs>
        <w:spacing w:line="560" w:lineRule="exact"/>
        <w:ind w:firstLine="643" w:firstLineChars="200"/>
        <w:outlineLvl w:val="1"/>
        <w:rPr>
          <w:rFonts w:eastAsia="仿宋_GB2312"/>
          <w:b/>
          <w:bCs/>
          <w:sz w:val="32"/>
          <w:szCs w:val="32"/>
        </w:rPr>
      </w:pPr>
      <w:r>
        <w:rPr>
          <w:rFonts w:eastAsia="楷体_GB2312"/>
          <w:b/>
          <w:bCs/>
          <w:sz w:val="32"/>
          <w:szCs w:val="32"/>
        </w:rPr>
        <w:t>（二）提升科技创新能力。</w:t>
      </w:r>
      <w:r>
        <w:rPr>
          <w:rFonts w:eastAsia="仿宋_GB2312"/>
          <w:sz w:val="32"/>
          <w:szCs w:val="32"/>
        </w:rPr>
        <w:t>强化科技创新驱动，</w:t>
      </w:r>
      <w:r>
        <w:rPr>
          <w:rFonts w:eastAsia="仿宋_GB2312"/>
          <w:kern w:val="0"/>
          <w:sz w:val="32"/>
          <w:szCs w:val="32"/>
        </w:rPr>
        <w:t>积极申报省级富硒农业科技试验示范基地，推动华中农业大学安远专家工作站申报省级工作站。支持易晖光电、安生源等企业申报市级创新平台</w:t>
      </w:r>
      <w:r>
        <w:rPr>
          <w:rFonts w:eastAsia="仿宋_GB2312"/>
          <w:sz w:val="32"/>
          <w:szCs w:val="32"/>
        </w:rPr>
        <w:t>，</w:t>
      </w:r>
      <w:r>
        <w:rPr>
          <w:rFonts w:eastAsia="仿宋_GB2312"/>
          <w:kern w:val="0"/>
          <w:sz w:val="32"/>
          <w:szCs w:val="32"/>
        </w:rPr>
        <w:t>新认定省级“专精特新”企业7家以上、科技型中小企业70家以上，培育潜在</w:t>
      </w:r>
      <w:r>
        <w:rPr>
          <w:rFonts w:eastAsia="仿宋_GB2312"/>
          <w:sz w:val="32"/>
          <w:szCs w:val="32"/>
        </w:rPr>
        <w:t>“瞪羚”企业2家以上。建成安远“留赣干”人才培养“产教融合”示范园，</w:t>
      </w:r>
      <w:r>
        <w:rPr>
          <w:rFonts w:eastAsia="仿宋_GB2312"/>
          <w:kern w:val="0"/>
          <w:sz w:val="32"/>
          <w:szCs w:val="32"/>
        </w:rPr>
        <w:t>围绕“1+3”产业优化专业设置，鼓励开设“订单班”“冠名班”，大力培养高技能人才。</w:t>
      </w:r>
      <w:r>
        <w:rPr>
          <w:rFonts w:eastAsia="仿宋_GB2312"/>
          <w:sz w:val="32"/>
          <w:szCs w:val="32"/>
        </w:rPr>
        <w:t>建好线上线下“一站式”人才服务平台，新建乡村振兴人才学院、乡村人才研学基地</w:t>
      </w:r>
      <w:r>
        <w:rPr>
          <w:rFonts w:eastAsia="仿宋_GB2312"/>
          <w:kern w:val="0"/>
          <w:sz w:val="32"/>
          <w:szCs w:val="32"/>
        </w:rPr>
        <w:t>，</w:t>
      </w:r>
      <w:r>
        <w:rPr>
          <w:rFonts w:eastAsia="仿宋_GB2312"/>
          <w:sz w:val="32"/>
          <w:szCs w:val="32"/>
        </w:rPr>
        <w:t>引进培养一批产业急需紧缺人才，力争省级以上人才工程实现“零”的突破。</w:t>
      </w:r>
    </w:p>
    <w:p>
      <w:pPr>
        <w:adjustRightInd w:val="0"/>
        <w:snapToGrid w:val="0"/>
        <w:spacing w:line="560" w:lineRule="exact"/>
        <w:ind w:firstLine="643" w:firstLineChars="200"/>
        <w:outlineLvl w:val="1"/>
        <w:rPr>
          <w:rFonts w:eastAsia="仿宋_GB2312"/>
          <w:b/>
          <w:bCs/>
          <w:sz w:val="32"/>
          <w:szCs w:val="32"/>
        </w:rPr>
      </w:pPr>
      <w:r>
        <w:rPr>
          <w:rFonts w:eastAsia="楷体_GB2312"/>
          <w:b/>
          <w:bCs/>
          <w:sz w:val="32"/>
          <w:szCs w:val="32"/>
        </w:rPr>
        <w:t>（三）深入实施数字经济做优做强“一号发展工程”。</w:t>
      </w:r>
      <w:r>
        <w:rPr>
          <w:rFonts w:eastAsia="仿宋_GB2312"/>
          <w:sz w:val="32"/>
          <w:szCs w:val="32"/>
        </w:rPr>
        <w:t>实施数字经济重点项目5个、完成年度投资23亿元，力争数字经济核心产业营收达35亿元。建成鹤子数字基地，加快电商快递物流园等项目建设，有序推进8个乡镇智运快线项目。推动数字产业化，力争新开通5G基站150个以上，提升5G、大数据、信息安全、区块链技术等配套设施和承载能力，完成市级数字经济产业集聚区年度创建目标，争创省级数字产业集聚区。加快产业数字化，培育智能工厂、数字化车间3家以上，力争上云企业突破400家，培育上云标杆企业3家以上。加速数字化治理，建设综合交通云平台、智慧果园大数据平台、智慧医院系统等项目。</w:t>
      </w:r>
    </w:p>
    <w:p>
      <w:pPr>
        <w:spacing w:line="560" w:lineRule="exact"/>
        <w:ind w:firstLine="640" w:firstLineChars="200"/>
        <w:outlineLvl w:val="0"/>
        <w:rPr>
          <w:rFonts w:eastAsia="黑体"/>
          <w:sz w:val="32"/>
          <w:szCs w:val="32"/>
        </w:rPr>
      </w:pPr>
      <w:r>
        <w:rPr>
          <w:rFonts w:eastAsia="黑体"/>
          <w:sz w:val="32"/>
          <w:szCs w:val="32"/>
        </w:rPr>
        <w:t>二、深挖内外需求潜力，增强经济发展内生动力</w:t>
      </w:r>
    </w:p>
    <w:p>
      <w:pPr>
        <w:spacing w:line="560" w:lineRule="exact"/>
        <w:ind w:firstLine="643" w:firstLineChars="200"/>
        <w:outlineLvl w:val="1"/>
        <w:rPr>
          <w:rFonts w:eastAsia="仿宋_GB2312"/>
          <w:sz w:val="32"/>
          <w:szCs w:val="32"/>
        </w:rPr>
      </w:pPr>
      <w:r>
        <w:rPr>
          <w:rFonts w:eastAsia="楷体_GB2312"/>
          <w:b/>
          <w:bCs/>
          <w:sz w:val="32"/>
          <w:szCs w:val="32"/>
        </w:rPr>
        <w:t>（一）积极落实扩大内需战略。</w:t>
      </w:r>
      <w:r>
        <w:rPr>
          <w:rFonts w:eastAsia="仿宋_GB2312"/>
          <w:sz w:val="32"/>
          <w:szCs w:val="32"/>
        </w:rPr>
        <w:t>深入实施项目建设“四大攻坚行动”，建成永镇水厂、水文化研发基地等项目，力争开工建设G238塘村至龙布段、三排至黄泥岭段公路改建工程，加快推进瑞梅铁路沿线征地拆迁和营口水库前期工作，积极争取赣安寻高速纳入“十四五”规划中期调整项目库并尽快开工建设、赣龙厦高铁途经安远并设立站点，全力推动通用机场和三百山至定南高铁站轨道交通项目取得实质性进展。深入挖掘消费潜力，促进商贸消费，做旺西街坝、中央公园、九龙巷等商业街区，打造首店经济、赛事经济等消费新场景；提升文旅消费，加快建设版石门山寨等项目，建成天心示范镇、孔田青创小镇，打造“重走长征路”等旅游精品路线，力争全年游客接待量突破1500万人次，实现旅游综合收入100亿元以上，争创国家级全域旅游示范区、江西省“风景独好”旅游名县；培育新型消费，支持工业企业设立网络直播平台，开展好“赣品网前冲”、直播电商、社区电商等网络营销活动，力争电商交易额突破27亿元；提振住房消费，因城施策用好房地产调控工具箱，满足房地产行业合理融资需求，支持刚性和改善性住房需求释放。</w:t>
      </w:r>
    </w:p>
    <w:p>
      <w:pPr>
        <w:spacing w:line="560" w:lineRule="exact"/>
        <w:ind w:firstLine="643" w:firstLineChars="200"/>
        <w:outlineLvl w:val="1"/>
        <w:rPr>
          <w:rFonts w:eastAsia="仿宋_GB2312"/>
          <w:sz w:val="32"/>
          <w:szCs w:val="32"/>
        </w:rPr>
      </w:pPr>
      <w:r>
        <w:rPr>
          <w:rFonts w:eastAsia="楷体_GB2312"/>
          <w:b/>
          <w:bCs/>
          <w:sz w:val="32"/>
          <w:szCs w:val="32"/>
        </w:rPr>
        <w:t>（二）深入推进营商环境优化升级“一号改革工程”。</w:t>
      </w:r>
      <w:r>
        <w:rPr>
          <w:rFonts w:eastAsia="仿宋_GB2312"/>
          <w:sz w:val="32"/>
          <w:szCs w:val="32"/>
        </w:rPr>
        <w:t>实施新一轮对标大湾区优化提升专项行动，高质量抓好145项改革任务落实，推进“新官不理旧账”等专项治理，大力支持民营企业高质量发展，擦亮“安心办”营商环境品牌，力争营商环境进入全省一流水平。深化“放管服”改革，建设园区云服务大厅，升级“赣服通”安远分厅、“赣政通”等平台，实现更多惠企政策免申即享、即申即享。上线“一件事一次办”服务事项100项以上，推出免证办理事项150项，推进“无实体印章”“无纸质证明”城市建设。坚持和完善政企圆桌会议、“联企双促”等制度，着力解决企业融资、用地、用工等实际困难，构建亲清政商关系。</w:t>
      </w:r>
    </w:p>
    <w:p>
      <w:pPr>
        <w:spacing w:line="560" w:lineRule="exact"/>
        <w:ind w:firstLine="643" w:firstLineChars="200"/>
        <w:outlineLvl w:val="1"/>
        <w:rPr>
          <w:rFonts w:eastAsia="仿宋_GB2312"/>
          <w:sz w:val="32"/>
          <w:szCs w:val="32"/>
        </w:rPr>
      </w:pPr>
      <w:r>
        <w:rPr>
          <w:rFonts w:eastAsia="楷体_GB2312"/>
          <w:b/>
          <w:bCs/>
          <w:sz w:val="32"/>
          <w:szCs w:val="32"/>
        </w:rPr>
        <w:t>（三）积极推进更高水平对外开放。</w:t>
      </w:r>
      <w:r>
        <w:rPr>
          <w:rFonts w:eastAsia="仿宋_GB2312"/>
          <w:sz w:val="32"/>
          <w:szCs w:val="32"/>
        </w:rPr>
        <w:t>突出招大引强，办好“央企援赣”“粤企入赣”“三请三回”等活动，全年引进项目70个以上，签约资金300亿元以上，总投资50亿元以上项目1个以上、20亿元以上项目2个以上。实施赣深对口合作五年行动，争取与深圳大湾区办、龙岗和罗湖区委统战部签订合作协议。加强农产品供销合作，新增认证大湾区菜篮子生产基地2个以上。建设湾区研学实践教育基地，推动三百山“饮水思源·香港青少年国民教育基地”提标升级，擦亮“东江源</w:t>
      </w:r>
      <w:r>
        <w:rPr>
          <w:rFonts w:eastAsia="仿宋_GB2312"/>
          <w:b/>
          <w:sz w:val="32"/>
          <w:szCs w:val="32"/>
        </w:rPr>
        <w:t>·</w:t>
      </w:r>
      <w:r>
        <w:rPr>
          <w:rFonts w:eastAsia="仿宋_GB2312"/>
          <w:sz w:val="32"/>
          <w:szCs w:val="32"/>
        </w:rPr>
        <w:t>三百山”品牌。落实落细与定南的合作协议，与信丰达成共建共享高铁经济合作，推进会寻安生态经济区建设取得新进展。促进外贸稳定增长，支持外贸企业开拓国际市场。</w:t>
      </w:r>
    </w:p>
    <w:p>
      <w:pPr>
        <w:spacing w:line="560" w:lineRule="exact"/>
        <w:ind w:firstLine="640" w:firstLineChars="200"/>
        <w:outlineLvl w:val="0"/>
        <w:rPr>
          <w:rFonts w:eastAsia="黑体"/>
          <w:sz w:val="32"/>
          <w:szCs w:val="32"/>
        </w:rPr>
      </w:pPr>
      <w:r>
        <w:rPr>
          <w:rFonts w:eastAsia="黑体"/>
          <w:sz w:val="32"/>
          <w:szCs w:val="32"/>
        </w:rPr>
        <w:t>三、完善提升功能品质，加快建设现代化城市</w:t>
      </w:r>
    </w:p>
    <w:p>
      <w:pPr>
        <w:spacing w:line="560" w:lineRule="exact"/>
        <w:ind w:firstLine="643" w:firstLineChars="200"/>
        <w:outlineLvl w:val="1"/>
        <w:rPr>
          <w:rFonts w:eastAsia="仿宋_GB2312"/>
          <w:sz w:val="32"/>
          <w:szCs w:val="32"/>
        </w:rPr>
      </w:pPr>
      <w:r>
        <w:rPr>
          <w:rFonts w:eastAsia="楷体_GB2312"/>
          <w:b/>
          <w:bCs/>
          <w:sz w:val="32"/>
          <w:szCs w:val="32"/>
        </w:rPr>
        <w:t>（一）促进城乡协调发展。</w:t>
      </w:r>
      <w:r>
        <w:rPr>
          <w:rFonts w:eastAsia="仿宋_GB2312"/>
          <w:sz w:val="32"/>
          <w:szCs w:val="32"/>
        </w:rPr>
        <w:t>高水平编制国土空间总体规划，加快东部新城与铁路片区综合开发前期工作。打通财富西路、九曲溪路、鹤子大道等一批断头路、瓶颈路。完成天心镇天心圩桥、鲤鱼石大桥、凤山乡东河大桥改造。加快夏日风情园综合开发、城东片区供排水及配套设施等项目建设，建成城乡交通一体化项目和17个乡（镇）客运站。新（改）建保障性租赁住房4867套，完成棚户区和老旧小区改造年度任务，争创国家文明城市、国家卫生县、省级生态园林城市。加强城镇基础设施建设，促进县城公共服务设施提标扩面，推动对标“参照地”进位赶超。</w:t>
      </w:r>
    </w:p>
    <w:p>
      <w:pPr>
        <w:spacing w:line="560" w:lineRule="exact"/>
        <w:ind w:firstLine="643" w:firstLineChars="200"/>
        <w:outlineLvl w:val="1"/>
        <w:rPr>
          <w:rFonts w:eastAsia="仿宋_GB2312"/>
          <w:kern w:val="0"/>
          <w:sz w:val="32"/>
          <w:szCs w:val="32"/>
        </w:rPr>
      </w:pPr>
      <w:r>
        <w:rPr>
          <w:rFonts w:eastAsia="楷体_GB2312"/>
          <w:b/>
          <w:bCs/>
          <w:sz w:val="32"/>
          <w:szCs w:val="32"/>
        </w:rPr>
        <w:t>（二）全面推进乡村振兴。</w:t>
      </w:r>
      <w:r>
        <w:rPr>
          <w:rFonts w:eastAsia="仿宋_GB2312"/>
          <w:sz w:val="32"/>
          <w:szCs w:val="32"/>
        </w:rPr>
        <w:t>巩固拓展脱贫攻坚成果，完善防止返贫监测帮扶机制，确保脱贫人口和监测对象生产经营性收入有较大提升，牢牢守住不发生规模性返贫底线。加快发展现代农业，新发展早、晚熟脐橙6000亩，新增规模露地蔬菜基地1418亩</w:t>
      </w:r>
      <w:r>
        <w:rPr>
          <w:rFonts w:eastAsia="仿宋_GB2312"/>
          <w:kern w:val="0"/>
          <w:sz w:val="32"/>
          <w:szCs w:val="32"/>
        </w:rPr>
        <w:t>，</w:t>
      </w:r>
      <w:r>
        <w:rPr>
          <w:rFonts w:eastAsia="仿宋_GB2312"/>
          <w:sz w:val="32"/>
          <w:szCs w:val="32"/>
        </w:rPr>
        <w:t>新（改）造油茶林1.7万亩，</w:t>
      </w:r>
      <w:r>
        <w:rPr>
          <w:rFonts w:eastAsia="仿宋_GB2312"/>
          <w:kern w:val="0"/>
          <w:sz w:val="32"/>
          <w:szCs w:val="32"/>
        </w:rPr>
        <w:t>确保生猪出栏43万头以上。</w:t>
      </w:r>
      <w:r>
        <w:rPr>
          <w:rFonts w:eastAsia="仿宋_GB2312"/>
          <w:sz w:val="32"/>
          <w:szCs w:val="32"/>
        </w:rPr>
        <w:t>打响“两富一有”品牌，打造千亩富硒高标准示范基地1个，培育销售额达亿元以上涉硒龙头企业1家，认证富硒农产品10个以上。开工孔田镇农产品仓储保鲜冷链物流项目，建成天华生物、果然食品二期等项目，建成仓储保鲜冷库1万立方米以上，力争将脐橙年精深加工能力提升至50万吨。加快建设宜居宜业和美乡村，</w:t>
      </w:r>
      <w:r>
        <w:rPr>
          <w:rFonts w:eastAsia="仿宋_GB2312"/>
          <w:kern w:val="0"/>
          <w:sz w:val="32"/>
          <w:szCs w:val="32"/>
        </w:rPr>
        <w:t>抓好</w:t>
      </w:r>
      <w:r>
        <w:rPr>
          <w:rFonts w:eastAsia="仿宋_GB2312"/>
          <w:sz w:val="32"/>
          <w:szCs w:val="32"/>
        </w:rPr>
        <w:t>39个乡村振兴推进村和</w:t>
      </w:r>
      <w:r>
        <w:rPr>
          <w:rFonts w:eastAsia="仿宋_GB2312"/>
          <w:kern w:val="0"/>
          <w:sz w:val="32"/>
          <w:szCs w:val="32"/>
        </w:rPr>
        <w:t>118个新农村点建设，</w:t>
      </w:r>
      <w:r>
        <w:rPr>
          <w:rFonts w:eastAsia="仿宋_GB2312"/>
          <w:bCs/>
          <w:sz w:val="32"/>
          <w:szCs w:val="32"/>
        </w:rPr>
        <w:t>健全农村生活垃圾规范化处置和处理体系，</w:t>
      </w:r>
      <w:r>
        <w:rPr>
          <w:rFonts w:eastAsia="仿宋_GB2312"/>
          <w:kern w:val="0"/>
          <w:sz w:val="32"/>
          <w:szCs w:val="32"/>
        </w:rPr>
        <w:t>建成</w:t>
      </w:r>
      <w:r>
        <w:rPr>
          <w:rFonts w:eastAsia="仿宋_GB2312"/>
          <w:sz w:val="32"/>
          <w:szCs w:val="32"/>
        </w:rPr>
        <w:t>天心等5个乡镇</w:t>
      </w:r>
      <w:r>
        <w:rPr>
          <w:rFonts w:eastAsia="仿宋_GB2312"/>
          <w:kern w:val="0"/>
          <w:sz w:val="32"/>
          <w:szCs w:val="32"/>
        </w:rPr>
        <w:t>生活污水治理工程，新（改）建农村公路20公里，</w:t>
      </w:r>
      <w:r>
        <w:rPr>
          <w:rFonts w:eastAsia="仿宋_GB2312"/>
          <w:sz w:val="32"/>
          <w:szCs w:val="32"/>
        </w:rPr>
        <w:t>安装路灯1090盏，基本实现25户以上自然村路灯全覆盖，重点行政村5G信号全覆盖</w:t>
      </w:r>
      <w:r>
        <w:rPr>
          <w:rFonts w:eastAsia="仿宋_GB2312"/>
          <w:kern w:val="0"/>
          <w:sz w:val="32"/>
          <w:szCs w:val="32"/>
        </w:rPr>
        <w:t>，持续深化乡风文明建设。</w:t>
      </w:r>
    </w:p>
    <w:p>
      <w:pPr>
        <w:spacing w:line="560" w:lineRule="exact"/>
        <w:ind w:firstLine="643" w:firstLineChars="200"/>
        <w:outlineLvl w:val="1"/>
        <w:rPr>
          <w:rFonts w:eastAsia="仿宋_GB2312"/>
          <w:sz w:val="32"/>
          <w:szCs w:val="32"/>
        </w:rPr>
      </w:pPr>
      <w:r>
        <w:rPr>
          <w:rFonts w:eastAsia="楷体_GB2312"/>
          <w:b/>
          <w:bCs/>
          <w:sz w:val="32"/>
          <w:szCs w:val="32"/>
        </w:rPr>
        <w:t>（三）大力发展社会事业。</w:t>
      </w:r>
      <w:r>
        <w:rPr>
          <w:rFonts w:eastAsia="仿宋_GB2312"/>
          <w:sz w:val="32"/>
          <w:szCs w:val="32"/>
        </w:rPr>
        <w:t>加大稳岗促就业力度，城镇新增就业2200人、新增转移农村劳动力3600人，确保零就业家庭动态清零。改善学校办学条件，</w:t>
      </w:r>
      <w:r>
        <w:rPr>
          <w:rFonts w:eastAsia="仿宋_GB2312"/>
          <w:kern w:val="0"/>
          <w:sz w:val="32"/>
          <w:szCs w:val="32"/>
        </w:rPr>
        <w:t>建成城区第十至十二幼儿园、五中职业学校、应用技术学校，完成安远二中改扩建，规划建设城东小学</w:t>
      </w:r>
      <w:r>
        <w:rPr>
          <w:rFonts w:eastAsia="仿宋_GB2312"/>
          <w:sz w:val="32"/>
          <w:szCs w:val="32"/>
        </w:rPr>
        <w:t>，新（改）建6个幼儿托育中心，新增园位1170个、学位1000个、托位650个。提升健康安远水平，建成新人民医院、第三人民医院、中西医结合医院，完成天心、车头、三百山、双芫等四个乡镇卫生院整体迁建。加快三百山过桥垄停车场建设，全县新增停车位800个，确保无物业小区物业服务覆盖率达85%以上。推进农村厕所标准化改造，建成县中心城区公厕7座</w:t>
      </w:r>
      <w:r>
        <w:rPr>
          <w:rFonts w:eastAsia="仿宋_GB2312"/>
          <w:kern w:val="0"/>
          <w:sz w:val="32"/>
          <w:szCs w:val="32"/>
        </w:rPr>
        <w:t>。</w:t>
      </w:r>
      <w:r>
        <w:rPr>
          <w:rFonts w:eastAsia="仿宋_GB2312"/>
          <w:sz w:val="32"/>
          <w:szCs w:val="32"/>
        </w:rPr>
        <w:t>加快尊三围遗址修复等项目建设，建成县方志馆、青少年宫、妇女儿童活动中心。深入实施全民参保计划，建成欣山中心敬老院和1个以上公立示范医养结合机构，实现80%以上乡镇敬老院达到一级或二级标准，</w:t>
      </w:r>
      <w:r>
        <w:rPr>
          <w:rFonts w:eastAsia="仿宋_GB2312"/>
          <w:kern w:val="0"/>
          <w:sz w:val="32"/>
          <w:szCs w:val="32"/>
        </w:rPr>
        <w:t>扎实做好城镇困难群众解困脱困工作</w:t>
      </w:r>
      <w:r>
        <w:rPr>
          <w:rFonts w:eastAsia="仿宋_GB2312"/>
          <w:sz w:val="32"/>
          <w:szCs w:val="32"/>
        </w:rPr>
        <w:t>。</w:t>
      </w:r>
    </w:p>
    <w:p>
      <w:pPr>
        <w:spacing w:line="560" w:lineRule="exact"/>
        <w:ind w:firstLine="640" w:firstLineChars="200"/>
        <w:outlineLvl w:val="0"/>
        <w:rPr>
          <w:rFonts w:eastAsia="黑体"/>
          <w:sz w:val="32"/>
          <w:szCs w:val="32"/>
        </w:rPr>
      </w:pPr>
      <w:r>
        <w:rPr>
          <w:rFonts w:eastAsia="黑体"/>
          <w:sz w:val="32"/>
          <w:szCs w:val="32"/>
        </w:rPr>
        <w:t>四、加强生态环境保护，建设高品质美丽安远</w:t>
      </w:r>
    </w:p>
    <w:p>
      <w:pPr>
        <w:spacing w:line="560" w:lineRule="exact"/>
        <w:ind w:firstLine="643" w:firstLineChars="200"/>
        <w:outlineLvl w:val="1"/>
        <w:rPr>
          <w:rFonts w:eastAsia="楷体_GB2312"/>
          <w:b/>
          <w:bCs/>
          <w:sz w:val="32"/>
          <w:szCs w:val="32"/>
        </w:rPr>
      </w:pPr>
      <w:r>
        <w:rPr>
          <w:rFonts w:eastAsia="楷体_GB2312"/>
          <w:b/>
          <w:bCs/>
          <w:sz w:val="32"/>
          <w:szCs w:val="32"/>
        </w:rPr>
        <w:t>（一）深入实施“双碳”战略。</w:t>
      </w:r>
      <w:r>
        <w:rPr>
          <w:rFonts w:eastAsia="仿宋_GB2312"/>
          <w:sz w:val="32"/>
          <w:szCs w:val="32"/>
        </w:rPr>
        <w:t>建立健全碳达峰碳中和“1+N”政策体系，全面实施碳达峰“十大行动”。开展“两高”项目全面排查清理整改专项行动，坚决遏制“两高”低水平项目盲目发展。</w:t>
      </w:r>
      <w:r>
        <w:rPr>
          <w:rFonts w:eastAsia="仿宋_GB2312"/>
          <w:kern w:val="0"/>
          <w:sz w:val="32"/>
          <w:szCs w:val="32"/>
        </w:rPr>
        <w:t>常态化开展</w:t>
      </w:r>
      <w:r>
        <w:rPr>
          <w:rFonts w:eastAsia="仿宋_GB2312"/>
          <w:sz w:val="32"/>
          <w:szCs w:val="32"/>
        </w:rPr>
        <w:t>荣晖、科力等高耗能企业用能情况的监管，全力保障重大优质项目用能需求。积极开展公共机构绿色低碳引领行动，创建一批绿色低碳机关、校园、社区。</w:t>
      </w:r>
    </w:p>
    <w:p>
      <w:pPr>
        <w:adjustRightInd w:val="0"/>
        <w:snapToGrid w:val="0"/>
        <w:spacing w:line="560" w:lineRule="exact"/>
        <w:ind w:firstLine="643" w:firstLineChars="200"/>
        <w:outlineLvl w:val="1"/>
        <w:rPr>
          <w:rFonts w:eastAsia="仿宋_GB2312"/>
          <w:sz w:val="32"/>
          <w:szCs w:val="32"/>
        </w:rPr>
      </w:pPr>
      <w:r>
        <w:rPr>
          <w:rFonts w:eastAsia="楷体_GB2312"/>
          <w:b/>
          <w:bCs/>
          <w:sz w:val="32"/>
          <w:szCs w:val="32"/>
        </w:rPr>
        <w:t>（二）持续强化生态保护修复。</w:t>
      </w:r>
      <w:r>
        <w:rPr>
          <w:rFonts w:eastAsia="仿宋_GB2312"/>
          <w:sz w:val="32"/>
          <w:szCs w:val="32"/>
        </w:rPr>
        <w:t>打好蓝天提升攻坚战，</w:t>
      </w:r>
      <w:r>
        <w:rPr>
          <w:rFonts w:eastAsia="仿宋_GB2312"/>
          <w:sz w:val="32"/>
          <w:szCs w:val="30"/>
        </w:rPr>
        <w:t>确保</w:t>
      </w:r>
      <w:r>
        <w:rPr>
          <w:rFonts w:eastAsia="仿宋_GB2312"/>
          <w:sz w:val="32"/>
          <w:szCs w:val="32"/>
        </w:rPr>
        <w:t>PM2.5平均浓度控制在17微克/立方米以下，空气质量优良天数比例达98%以上。打好碧水提升攻坚战，加快濂江河流域综合治理、农村生活污水处理等项目建设，确保县城建成区生活污水集中收集率达40%以上</w:t>
      </w:r>
      <w:r>
        <w:rPr>
          <w:rFonts w:eastAsia="仿宋_GB2312"/>
          <w:bCs/>
          <w:sz w:val="32"/>
          <w:szCs w:val="32"/>
        </w:rPr>
        <w:t>，全县集中式饮用水水源水质达标率 100%，地表水考核断面水质优良比例达到100%</w:t>
      </w:r>
      <w:r>
        <w:rPr>
          <w:rFonts w:eastAsia="仿宋_GB2312"/>
          <w:sz w:val="32"/>
          <w:szCs w:val="32"/>
        </w:rPr>
        <w:t>。打好净土提升攻坚战，完成水土流失治理7.8平方公里、废弃矿山生态修复510亩、低质低效林改造6.4万亩，受污染耕地安全利用率达93%以上</w:t>
      </w:r>
      <w:r>
        <w:rPr>
          <w:rFonts w:eastAsia="仿宋_GB2312"/>
          <w:sz w:val="32"/>
          <w:szCs w:val="30"/>
        </w:rPr>
        <w:t>。</w:t>
      </w:r>
    </w:p>
    <w:p>
      <w:pPr>
        <w:spacing w:line="560" w:lineRule="exact"/>
        <w:ind w:firstLine="643" w:firstLineChars="200"/>
        <w:outlineLvl w:val="1"/>
        <w:rPr>
          <w:rFonts w:eastAsia="仿宋_GB2312"/>
          <w:bCs/>
          <w:sz w:val="32"/>
          <w:szCs w:val="32"/>
        </w:rPr>
      </w:pPr>
      <w:r>
        <w:rPr>
          <w:rFonts w:eastAsia="楷体_GB2312"/>
          <w:b/>
          <w:bCs/>
          <w:sz w:val="32"/>
          <w:szCs w:val="32"/>
        </w:rPr>
        <w:t>（三）加快绿色低碳转型发展。</w:t>
      </w:r>
      <w:r>
        <w:rPr>
          <w:rFonts w:eastAsia="仿宋_GB2312"/>
          <w:sz w:val="32"/>
          <w:szCs w:val="32"/>
        </w:rPr>
        <w:t>加快生态产品价值实现，大力推进GEP核算，大力发展循环经济、低碳经济，探索开展全民所有自然资源资产所有权委托代理机制试点。争创省级“两山”理念实践创新基地</w:t>
      </w:r>
      <w:r>
        <w:rPr>
          <w:rFonts w:eastAsia="仿宋_GB2312"/>
          <w:kern w:val="0"/>
          <w:sz w:val="32"/>
          <w:szCs w:val="32"/>
        </w:rPr>
        <w:t>、省级生态县和国家生态文明建设示范区</w:t>
      </w:r>
      <w:r>
        <w:rPr>
          <w:rFonts w:eastAsia="仿宋_GB2312"/>
          <w:sz w:val="32"/>
          <w:szCs w:val="32"/>
        </w:rPr>
        <w:t>。支持和鼓励重点行业和领域绿色技术创新，</w:t>
      </w:r>
      <w:r>
        <w:rPr>
          <w:rFonts w:eastAsia="仿宋_GB2312"/>
          <w:kern w:val="0"/>
          <w:sz w:val="32"/>
          <w:szCs w:val="32"/>
        </w:rPr>
        <w:t>积极创建“绿色工厂”</w:t>
      </w:r>
      <w:r>
        <w:rPr>
          <w:rFonts w:eastAsia="仿宋_GB2312"/>
          <w:sz w:val="32"/>
          <w:szCs w:val="32"/>
        </w:rPr>
        <w:t>。</w:t>
      </w:r>
    </w:p>
    <w:p>
      <w:pPr>
        <w:spacing w:line="560" w:lineRule="exact"/>
        <w:ind w:firstLine="640" w:firstLineChars="200"/>
        <w:outlineLvl w:val="0"/>
        <w:rPr>
          <w:rFonts w:eastAsia="黑体"/>
          <w:sz w:val="32"/>
          <w:szCs w:val="32"/>
        </w:rPr>
      </w:pPr>
      <w:r>
        <w:rPr>
          <w:rFonts w:eastAsia="黑体"/>
          <w:sz w:val="32"/>
          <w:szCs w:val="32"/>
        </w:rPr>
        <w:t>五、统筹安全和发展，建设更高水平平安安远</w:t>
      </w:r>
    </w:p>
    <w:p>
      <w:pPr>
        <w:spacing w:line="560" w:lineRule="exact"/>
        <w:ind w:firstLine="643" w:firstLineChars="200"/>
        <w:outlineLvl w:val="1"/>
        <w:rPr>
          <w:rFonts w:eastAsia="仿宋_GB2312"/>
          <w:sz w:val="32"/>
          <w:szCs w:val="32"/>
        </w:rPr>
      </w:pPr>
      <w:r>
        <w:rPr>
          <w:rFonts w:eastAsia="楷体_GB2312"/>
          <w:b/>
          <w:bCs/>
          <w:sz w:val="32"/>
          <w:szCs w:val="32"/>
        </w:rPr>
        <w:t>（一）保障粮食能源安全。</w:t>
      </w:r>
      <w:r>
        <w:rPr>
          <w:rFonts w:eastAsia="仿宋_GB2312"/>
          <w:sz w:val="32"/>
          <w:szCs w:val="32"/>
        </w:rPr>
        <w:t>落实最严格的耕地保护制度，完成</w:t>
      </w:r>
      <w:r>
        <w:rPr>
          <w:rFonts w:eastAsia="仿宋_GB2312"/>
          <w:kern w:val="0"/>
          <w:sz w:val="32"/>
          <w:szCs w:val="32"/>
        </w:rPr>
        <w:t>3万亩高标准农田建设，</w:t>
      </w:r>
      <w:r>
        <w:rPr>
          <w:rFonts w:eastAsia="仿宋_GB2312"/>
          <w:sz w:val="32"/>
          <w:szCs w:val="32"/>
        </w:rPr>
        <w:t>实施“旱地改水田”土地整治工程，确保耕地“非农化”“非粮化”问题零新增，粮食产量稳定在1.95亿斤以上。提升能源保障水平，新建产城新区分布式光伏五至八期、狮头山风电场二期等项目，争取安远抽水蓄能电站项目入库。铺设城镇燃气管网51.7千米、乡镇燃气管网1380千米，建设35千伏线路23千米，改建10千伏线路34千米，新建充电桩800个。</w:t>
      </w:r>
    </w:p>
    <w:p>
      <w:pPr>
        <w:spacing w:line="560" w:lineRule="exact"/>
        <w:ind w:firstLine="643" w:firstLineChars="200"/>
        <w:outlineLvl w:val="1"/>
        <w:rPr>
          <w:rFonts w:eastAsia="仿宋_GB2312"/>
          <w:sz w:val="32"/>
          <w:szCs w:val="32"/>
        </w:rPr>
      </w:pPr>
      <w:r>
        <w:rPr>
          <w:rFonts w:eastAsia="楷体_GB2312"/>
          <w:b/>
          <w:bCs/>
          <w:sz w:val="32"/>
          <w:szCs w:val="32"/>
        </w:rPr>
        <w:t>（二）防范化解重大风险。</w:t>
      </w:r>
      <w:r>
        <w:rPr>
          <w:rFonts w:eastAsia="仿宋_GB2312"/>
          <w:sz w:val="32"/>
          <w:szCs w:val="32"/>
        </w:rPr>
        <w:t>加强政府债务管理，坚决遏制隐性债务增量，稳妥有序化解存量。坚持政府过“紧日子”，严控“三公”经费支出，强化绩效管理。加强经济安全风险监测预警，坚决防范和处置非法集资活动。支持刚性和改善性住房需求，扎实做好保交楼、保民生、保稳定工作，牢牢守住不发生系统性风险底线。</w:t>
      </w:r>
    </w:p>
    <w:p>
      <w:pPr>
        <w:spacing w:line="560" w:lineRule="exact"/>
        <w:ind w:firstLine="643" w:firstLineChars="200"/>
        <w:outlineLvl w:val="1"/>
        <w:rPr>
          <w:rFonts w:eastAsia="仿宋_GB2312"/>
          <w:sz w:val="32"/>
          <w:szCs w:val="32"/>
        </w:rPr>
      </w:pPr>
      <w:r>
        <w:rPr>
          <w:rFonts w:eastAsia="楷体_GB2312"/>
          <w:b/>
          <w:bCs/>
          <w:sz w:val="32"/>
          <w:szCs w:val="32"/>
        </w:rPr>
        <w:t>（三）维护社会大局稳定。</w:t>
      </w:r>
      <w:r>
        <w:rPr>
          <w:rFonts w:eastAsia="仿宋_GB2312"/>
          <w:sz w:val="32"/>
          <w:szCs w:val="32"/>
        </w:rPr>
        <w:t>严格落实“三结合”安全生产责任制，深入开展道路交通、建筑施工、城镇燃气等重点领域安全生产排查整治，加强防汛抗旱、森林防灭火、救灾物资储备能力建设。强化食品药品安全监管，争创省级食品安全治理示范县。深入推进市域社会治理现代化，常态化开展扫黑除恶斗争，扎实做好信访、国防、禁毒等工作，保持社会大局和谐稳定。</w:t>
      </w:r>
    </w:p>
    <w:p>
      <w:pPr>
        <w:spacing w:line="560" w:lineRule="exact"/>
        <w:ind w:firstLine="640" w:firstLineChars="200"/>
        <w:rPr>
          <w:rFonts w:eastAsia="仿宋_GB2312"/>
          <w:sz w:val="32"/>
          <w:szCs w:val="32"/>
        </w:rPr>
      </w:pPr>
    </w:p>
    <w:p>
      <w:pPr>
        <w:pStyle w:val="9"/>
        <w:spacing w:line="560" w:lineRule="exact"/>
        <w:ind w:firstLine="640"/>
        <w:outlineLvl w:val="0"/>
      </w:pPr>
      <w:r>
        <w:rPr>
          <w:rFonts w:eastAsia="仿宋_GB2312"/>
          <w:sz w:val="32"/>
          <w:szCs w:val="32"/>
        </w:rPr>
        <w:t>附件：安远县2023年国民经济和社会发展计划主要指标</w:t>
      </w:r>
    </w:p>
    <w:p>
      <w:pPr>
        <w:spacing w:line="560" w:lineRule="exact"/>
        <w:ind w:firstLine="640" w:firstLineChars="200"/>
        <w:rPr>
          <w:rFonts w:eastAsia="仿宋_GB2312"/>
          <w:sz w:val="32"/>
          <w:szCs w:val="32"/>
        </w:rPr>
      </w:pPr>
    </w:p>
    <w:p>
      <w:pPr>
        <w:pStyle w:val="4"/>
      </w:pPr>
    </w:p>
    <w:p>
      <w:pPr>
        <w:pStyle w:val="2"/>
        <w:rPr>
          <w:rFonts w:ascii="Times New Roman" w:hAnsi="Times New Roman"/>
        </w:rPr>
      </w:pPr>
    </w:p>
    <w:p/>
    <w:p>
      <w:pPr>
        <w:pStyle w:val="4"/>
      </w:pPr>
    </w:p>
    <w:p>
      <w:pPr>
        <w:pStyle w:val="2"/>
        <w:rPr>
          <w:rFonts w:ascii="Times New Roman" w:hAnsi="Times New Roman"/>
        </w:rPr>
      </w:pPr>
    </w:p>
    <w:p/>
    <w:p>
      <w:pPr>
        <w:pStyle w:val="4"/>
      </w:pPr>
    </w:p>
    <w:p>
      <w:pPr>
        <w:pStyle w:val="2"/>
        <w:rPr>
          <w:rFonts w:ascii="Times New Roman" w:hAnsi="Times New Roman"/>
        </w:rPr>
      </w:pPr>
    </w:p>
    <w:p/>
    <w:p>
      <w:pPr>
        <w:pStyle w:val="4"/>
      </w:pPr>
    </w:p>
    <w:p>
      <w:pPr>
        <w:adjustRightInd w:val="0"/>
        <w:snapToGrid w:val="0"/>
        <w:spacing w:line="500" w:lineRule="exact"/>
        <w:ind w:firstLine="210" w:firstLineChars="100"/>
      </w:pPr>
      <w:r>
        <w:pict>
          <v:line id="_x0000_s1028" o:spid="_x0000_s1028" o:spt="20" style="position:absolute;left:0pt;margin-left:0pt;margin-top:28.1pt;height:0pt;width:442.2pt;z-index:251661312;mso-width-relative:page;mso-height-relative:page;" coordsize="21600,21600">
            <v:path arrowok="t"/>
            <v:fill focussize="0,0"/>
            <v:stroke weight="0.7pt"/>
            <v:imagedata o:title=""/>
            <o:lock v:ext="edit"/>
          </v:line>
        </w:pict>
      </w:r>
      <w:r>
        <w:pict>
          <v:line id="_x0000_s1029" o:spid="_x0000_s1029" o:spt="20" style="position:absolute;left:0pt;margin-left:0pt;margin-top:1.4pt;height:0pt;width:442.2pt;z-index:251662336;mso-width-relative:page;mso-height-relative:page;" coordsize="21600,21600">
            <v:path arrowok="t"/>
            <v:fill focussize="0,0"/>
            <v:stroke weight="0.7pt"/>
            <v:imagedata o:title=""/>
            <o:lock v:ext="edit"/>
          </v:line>
        </w:pict>
      </w:r>
      <w:r>
        <w:rPr>
          <w:rFonts w:eastAsia="仿宋_GB2312"/>
          <w:sz w:val="28"/>
          <w:szCs w:val="28"/>
        </w:rPr>
        <w:t>安远县人民政府办公室秘书科               2023年4月7日印发</w:t>
      </w:r>
    </w:p>
    <w:p>
      <w:pPr>
        <w:ind w:firstLine="420"/>
        <w:sectPr>
          <w:footerReference r:id="rId3" w:type="default"/>
          <w:footerReference r:id="rId4" w:type="even"/>
          <w:pgSz w:w="11906" w:h="16838"/>
          <w:pgMar w:top="1440" w:right="1800" w:bottom="1440" w:left="1800" w:header="851" w:footer="992" w:gutter="0"/>
          <w:cols w:space="425" w:num="1"/>
          <w:docGrid w:type="lines" w:linePitch="312" w:charSpace="0"/>
        </w:sectPr>
      </w:pPr>
    </w:p>
    <w:p>
      <w:pPr>
        <w:spacing w:line="560" w:lineRule="exact"/>
        <w:rPr>
          <w:rFonts w:eastAsia="黑体"/>
          <w:sz w:val="32"/>
          <w:szCs w:val="32"/>
        </w:rPr>
      </w:pPr>
      <w:r>
        <w:rPr>
          <w:rFonts w:eastAsia="黑体"/>
          <w:sz w:val="32"/>
          <w:szCs w:val="32"/>
        </w:rPr>
        <w:t>附件</w:t>
      </w:r>
    </w:p>
    <w:p>
      <w:pPr>
        <w:spacing w:line="560" w:lineRule="exact"/>
        <w:jc w:val="center"/>
        <w:rPr>
          <w:rFonts w:eastAsia="方正小标宋简体"/>
          <w:sz w:val="44"/>
          <w:szCs w:val="44"/>
        </w:rPr>
      </w:pPr>
      <w:r>
        <w:rPr>
          <w:rFonts w:eastAsia="方正小标宋简体"/>
          <w:sz w:val="44"/>
          <w:szCs w:val="44"/>
        </w:rPr>
        <w:t>安远县2023年国民经济和社会发展计划主要指标</w:t>
      </w:r>
    </w:p>
    <w:p>
      <w:pPr>
        <w:pStyle w:val="4"/>
      </w:pPr>
    </w:p>
    <w:tbl>
      <w:tblPr>
        <w:tblStyle w:val="10"/>
        <w:tblW w:w="0" w:type="auto"/>
        <w:jc w:val="center"/>
        <w:tblLayout w:type="fixed"/>
        <w:tblCellMar>
          <w:top w:w="0" w:type="dxa"/>
          <w:left w:w="30" w:type="dxa"/>
          <w:bottom w:w="0" w:type="dxa"/>
          <w:right w:w="30" w:type="dxa"/>
        </w:tblCellMar>
      </w:tblPr>
      <w:tblGrid>
        <w:gridCol w:w="4471"/>
        <w:gridCol w:w="1485"/>
        <w:gridCol w:w="1350"/>
        <w:gridCol w:w="1377"/>
        <w:gridCol w:w="2046"/>
        <w:gridCol w:w="1099"/>
        <w:gridCol w:w="2171"/>
      </w:tblGrid>
      <w:tr>
        <w:tblPrEx>
          <w:tblCellMar>
            <w:top w:w="0" w:type="dxa"/>
            <w:left w:w="30" w:type="dxa"/>
            <w:bottom w:w="0" w:type="dxa"/>
            <w:right w:w="30" w:type="dxa"/>
          </w:tblCellMar>
        </w:tblPrEx>
        <w:trPr>
          <w:trHeight w:val="397" w:hRule="atLeast"/>
          <w:tblHeader/>
          <w:jc w:val="center"/>
        </w:trPr>
        <w:tc>
          <w:tcPr>
            <w:tcW w:w="4471"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exact"/>
              <w:jc w:val="center"/>
              <w:rPr>
                <w:rFonts w:eastAsia="黑体"/>
                <w:kern w:val="0"/>
                <w:sz w:val="24"/>
              </w:rPr>
            </w:pPr>
            <w:r>
              <w:rPr>
                <w:rFonts w:eastAsia="黑体"/>
                <w:kern w:val="0"/>
                <w:sz w:val="24"/>
              </w:rPr>
              <w:t>指标名称</w:t>
            </w:r>
          </w:p>
        </w:tc>
        <w:tc>
          <w:tcPr>
            <w:tcW w:w="1485"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exact"/>
              <w:jc w:val="center"/>
              <w:rPr>
                <w:rFonts w:eastAsia="黑体"/>
                <w:kern w:val="0"/>
                <w:sz w:val="24"/>
              </w:rPr>
            </w:pPr>
            <w:r>
              <w:rPr>
                <w:rFonts w:eastAsia="黑体"/>
                <w:kern w:val="0"/>
                <w:sz w:val="24"/>
              </w:rPr>
              <w:t>计算单位</w:t>
            </w:r>
          </w:p>
        </w:tc>
        <w:tc>
          <w:tcPr>
            <w:tcW w:w="1350"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exact"/>
              <w:jc w:val="center"/>
              <w:rPr>
                <w:rFonts w:eastAsia="黑体"/>
                <w:kern w:val="0"/>
                <w:sz w:val="24"/>
              </w:rPr>
            </w:pPr>
            <w:r>
              <w:rPr>
                <w:rFonts w:eastAsia="黑体"/>
                <w:kern w:val="0"/>
                <w:sz w:val="24"/>
              </w:rPr>
              <w:t>2021年</w:t>
            </w:r>
          </w:p>
          <w:p>
            <w:pPr>
              <w:autoSpaceDE w:val="0"/>
              <w:autoSpaceDN w:val="0"/>
              <w:adjustRightInd w:val="0"/>
              <w:spacing w:line="360" w:lineRule="exact"/>
              <w:jc w:val="center"/>
              <w:rPr>
                <w:rFonts w:eastAsia="黑体"/>
                <w:kern w:val="0"/>
                <w:sz w:val="24"/>
              </w:rPr>
            </w:pPr>
            <w:r>
              <w:rPr>
                <w:rFonts w:eastAsia="黑体"/>
                <w:kern w:val="0"/>
                <w:sz w:val="24"/>
              </w:rPr>
              <w:t>实际</w:t>
            </w:r>
          </w:p>
        </w:tc>
        <w:tc>
          <w:tcPr>
            <w:tcW w:w="342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黑体"/>
                <w:kern w:val="0"/>
                <w:sz w:val="24"/>
              </w:rPr>
            </w:pPr>
            <w:r>
              <w:rPr>
                <w:rFonts w:eastAsia="黑体"/>
                <w:kern w:val="0"/>
                <w:sz w:val="24"/>
              </w:rPr>
              <w:t>2022年</w:t>
            </w:r>
          </w:p>
        </w:tc>
        <w:tc>
          <w:tcPr>
            <w:tcW w:w="327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黑体"/>
                <w:kern w:val="0"/>
                <w:sz w:val="24"/>
              </w:rPr>
            </w:pPr>
            <w:r>
              <w:rPr>
                <w:rFonts w:eastAsia="黑体"/>
                <w:kern w:val="0"/>
                <w:sz w:val="24"/>
              </w:rPr>
              <w:t>2023年</w:t>
            </w:r>
          </w:p>
        </w:tc>
      </w:tr>
      <w:tr>
        <w:tblPrEx>
          <w:tblCellMar>
            <w:top w:w="0" w:type="dxa"/>
            <w:left w:w="30" w:type="dxa"/>
            <w:bottom w:w="0" w:type="dxa"/>
            <w:right w:w="30" w:type="dxa"/>
          </w:tblCellMar>
        </w:tblPrEx>
        <w:trPr>
          <w:trHeight w:val="90" w:hRule="atLeast"/>
          <w:tblHeader/>
          <w:jc w:val="center"/>
        </w:trPr>
        <w:tc>
          <w:tcPr>
            <w:tcW w:w="4471"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exact"/>
              <w:rPr>
                <w:kern w:val="0"/>
                <w:sz w:val="24"/>
              </w:rPr>
            </w:pPr>
          </w:p>
        </w:tc>
        <w:tc>
          <w:tcPr>
            <w:tcW w:w="148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exact"/>
              <w:rPr>
                <w:kern w:val="0"/>
                <w:sz w:val="24"/>
              </w:rPr>
            </w:pPr>
          </w:p>
        </w:tc>
        <w:tc>
          <w:tcPr>
            <w:tcW w:w="1350"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exact"/>
              <w:rPr>
                <w:rFonts w:eastAsia="黑体"/>
                <w:kern w:val="0"/>
                <w:sz w:val="24"/>
              </w:rPr>
            </w:pP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黑体"/>
                <w:kern w:val="0"/>
                <w:sz w:val="24"/>
              </w:rPr>
            </w:pPr>
            <w:r>
              <w:rPr>
                <w:rFonts w:eastAsia="黑体"/>
                <w:kern w:val="0"/>
                <w:sz w:val="24"/>
              </w:rPr>
              <w:t>实 际</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黑体"/>
                <w:kern w:val="0"/>
                <w:sz w:val="24"/>
              </w:rPr>
            </w:pPr>
            <w:r>
              <w:rPr>
                <w:rFonts w:eastAsia="黑体"/>
                <w:kern w:val="0"/>
                <w:sz w:val="24"/>
              </w:rPr>
              <w:t>比上年实际增长（%）</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黑体"/>
                <w:kern w:val="0"/>
                <w:sz w:val="24"/>
              </w:rPr>
            </w:pPr>
            <w:r>
              <w:rPr>
                <w:rFonts w:eastAsia="黑体"/>
                <w:kern w:val="0"/>
                <w:sz w:val="24"/>
              </w:rPr>
              <w:t>预 期</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黑体"/>
                <w:kern w:val="0"/>
                <w:sz w:val="24"/>
              </w:rPr>
            </w:pPr>
            <w:r>
              <w:rPr>
                <w:rFonts w:eastAsia="黑体"/>
                <w:kern w:val="0"/>
                <w:sz w:val="24"/>
              </w:rPr>
              <w:t>比上年预计增长（%）</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left"/>
              <w:rPr>
                <w:rFonts w:eastAsia="仿宋_GB2312"/>
                <w:kern w:val="0"/>
                <w:sz w:val="24"/>
              </w:rPr>
            </w:pPr>
            <w:r>
              <w:rPr>
                <w:rFonts w:eastAsia="仿宋_GB2312"/>
                <w:kern w:val="0"/>
                <w:sz w:val="24"/>
              </w:rPr>
              <w:t>一、地区生产总值(GDP)</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102.14</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110.96</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4.8</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117</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sz w:val="24"/>
              </w:rPr>
            </w:pPr>
            <w:r>
              <w:rPr>
                <w:rFonts w:eastAsia="仿宋_GB2312"/>
                <w:sz w:val="24"/>
              </w:rPr>
              <w:t>7.5</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第一产业</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22.35</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23.52</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3.1</w:t>
            </w:r>
          </w:p>
        </w:tc>
        <w:tc>
          <w:tcPr>
            <w:tcW w:w="1099" w:type="dxa"/>
            <w:tcBorders>
              <w:top w:val="single" w:color="auto" w:sz="6" w:space="0"/>
              <w:left w:val="single" w:color="auto" w:sz="6" w:space="0"/>
              <w:bottom w:val="single" w:color="auto" w:sz="6" w:space="0"/>
              <w:right w:val="single" w:color="auto" w:sz="6" w:space="0"/>
            </w:tcBorders>
            <w:vAlign w:val="bottom"/>
          </w:tcPr>
          <w:p>
            <w:pPr>
              <w:widowControl/>
              <w:jc w:val="center"/>
              <w:textAlignment w:val="bottom"/>
              <w:rPr>
                <w:rFonts w:eastAsia="仿宋_GB2312"/>
                <w:sz w:val="24"/>
              </w:rPr>
            </w:pPr>
            <w:r>
              <w:rPr>
                <w:rFonts w:eastAsia="仿宋_GB2312"/>
                <w:kern w:val="0"/>
                <w:sz w:val="20"/>
                <w:szCs w:val="20"/>
              </w:rPr>
              <w:t>24.2</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2.6</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第二产业</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26.87</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30.06</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6.9</w:t>
            </w:r>
          </w:p>
        </w:tc>
        <w:tc>
          <w:tcPr>
            <w:tcW w:w="1099" w:type="dxa"/>
            <w:tcBorders>
              <w:top w:val="single" w:color="auto" w:sz="6" w:space="0"/>
              <w:left w:val="single" w:color="auto" w:sz="6" w:space="0"/>
              <w:bottom w:val="single" w:color="auto" w:sz="6" w:space="0"/>
              <w:right w:val="single" w:color="auto" w:sz="6" w:space="0"/>
            </w:tcBorders>
            <w:vAlign w:val="bottom"/>
          </w:tcPr>
          <w:p>
            <w:pPr>
              <w:widowControl/>
              <w:jc w:val="center"/>
              <w:textAlignment w:val="bottom"/>
              <w:rPr>
                <w:rFonts w:eastAsia="仿宋_GB2312"/>
                <w:sz w:val="24"/>
              </w:rPr>
            </w:pPr>
            <w:r>
              <w:rPr>
                <w:rFonts w:eastAsia="仿宋_GB2312"/>
                <w:kern w:val="0"/>
                <w:sz w:val="20"/>
                <w:szCs w:val="20"/>
              </w:rPr>
              <w:t>32.6</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6.7</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第三产业</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52.93</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57.38</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4.4</w:t>
            </w:r>
          </w:p>
        </w:tc>
        <w:tc>
          <w:tcPr>
            <w:tcW w:w="1099" w:type="dxa"/>
            <w:tcBorders>
              <w:top w:val="single" w:color="auto" w:sz="6" w:space="0"/>
              <w:left w:val="single" w:color="auto" w:sz="6" w:space="0"/>
              <w:bottom w:val="single" w:color="auto" w:sz="6" w:space="0"/>
              <w:right w:val="single" w:color="auto" w:sz="6" w:space="0"/>
            </w:tcBorders>
            <w:vAlign w:val="bottom"/>
          </w:tcPr>
          <w:p>
            <w:pPr>
              <w:widowControl/>
              <w:jc w:val="center"/>
              <w:textAlignment w:val="bottom"/>
              <w:rPr>
                <w:rFonts w:eastAsia="仿宋_GB2312"/>
                <w:sz w:val="24"/>
              </w:rPr>
            </w:pPr>
            <w:r>
              <w:rPr>
                <w:rFonts w:eastAsia="仿宋_GB2312"/>
                <w:kern w:val="0"/>
                <w:sz w:val="20"/>
                <w:szCs w:val="20"/>
              </w:rPr>
              <w:t>60.2</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4.5</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left"/>
              <w:rPr>
                <w:rFonts w:eastAsia="仿宋_GB2312"/>
                <w:kern w:val="0"/>
                <w:sz w:val="24"/>
              </w:rPr>
            </w:pPr>
            <w:r>
              <w:rPr>
                <w:rFonts w:eastAsia="仿宋_GB2312"/>
                <w:kern w:val="0"/>
                <w:sz w:val="24"/>
              </w:rPr>
              <w:t>二、一般公共预算收入</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7.13</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7.35</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3.1</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7.64</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3.9</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一般公共预算收入占GDP比重</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7.0</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6.6</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下降0.4个百分点</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6.5</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下降0.1个百分点</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税收收入</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5.04</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4.87</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-3.3</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5.1</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4.7</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税收收入占一般公共预算收入比重</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70.7</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66.3</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下降4.4个百分点</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66.7</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提高0.4个百分点</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left"/>
              <w:rPr>
                <w:rFonts w:eastAsia="仿宋_GB2312"/>
                <w:kern w:val="0"/>
                <w:sz w:val="24"/>
              </w:rPr>
            </w:pPr>
            <w:r>
              <w:rPr>
                <w:rFonts w:eastAsia="仿宋_GB2312"/>
                <w:kern w:val="0"/>
                <w:sz w:val="24"/>
              </w:rPr>
              <w:t>三、固定资产投资</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13.9</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w:t>
            </w:r>
          </w:p>
        </w:tc>
        <w:tc>
          <w:tcPr>
            <w:tcW w:w="217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12左右</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其中：房地产开发投资</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9.89</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9.96</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0.79</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10.04</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0.8</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其中：工业固定资产投资</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13.17</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15.24</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15.74</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18.28</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20</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left"/>
              <w:rPr>
                <w:rFonts w:eastAsia="仿宋_GB2312"/>
                <w:kern w:val="0"/>
                <w:sz w:val="24"/>
              </w:rPr>
            </w:pPr>
            <w:r>
              <w:rPr>
                <w:rFonts w:eastAsia="仿宋_GB2312"/>
                <w:kern w:val="0"/>
                <w:sz w:val="24"/>
              </w:rPr>
              <w:t>四、消费</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社会消费品零售总额</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52.27</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55.13</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5.5</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58.71</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6.5</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其中：限额以上消费品零售额</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6.74</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10.04</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31.8</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11.14</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11</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全社会用电量</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万千瓦时</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55486</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6.09</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9.9</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6.89</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13.19</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工业用电量</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万千瓦时</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1.7134</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1.89</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11.21</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2.37</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25.56</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left"/>
              <w:rPr>
                <w:rFonts w:eastAsia="仿宋_GB2312"/>
                <w:kern w:val="0"/>
                <w:sz w:val="24"/>
              </w:rPr>
            </w:pPr>
            <w:r>
              <w:rPr>
                <w:rStyle w:val="16"/>
                <w:rFonts w:hint="default" w:eastAsia="仿宋_GB2312"/>
                <w:b w:val="0"/>
                <w:bCs/>
              </w:rPr>
              <w:t>五、外向型经济</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1099" w:type="dxa"/>
            <w:tcBorders>
              <w:top w:val="single" w:color="auto" w:sz="6" w:space="0"/>
              <w:left w:val="single" w:color="auto" w:sz="6" w:space="0"/>
              <w:bottom w:val="single" w:color="auto" w:sz="4" w:space="0"/>
              <w:right w:val="single" w:color="auto" w:sz="6" w:space="0"/>
            </w:tcBorders>
            <w:vAlign w:val="center"/>
          </w:tcPr>
          <w:p>
            <w:pPr>
              <w:widowControl/>
              <w:spacing w:line="360" w:lineRule="exact"/>
              <w:jc w:val="center"/>
              <w:textAlignment w:val="center"/>
              <w:rPr>
                <w:rFonts w:eastAsia="仿宋_GB2312"/>
                <w:kern w:val="0"/>
                <w:sz w:val="24"/>
              </w:rPr>
            </w:pPr>
          </w:p>
        </w:tc>
        <w:tc>
          <w:tcPr>
            <w:tcW w:w="2171" w:type="dxa"/>
            <w:tcBorders>
              <w:top w:val="single" w:color="auto" w:sz="6" w:space="0"/>
              <w:left w:val="single" w:color="auto" w:sz="6" w:space="0"/>
              <w:bottom w:val="single" w:color="auto" w:sz="4" w:space="0"/>
              <w:right w:val="single" w:color="auto" w:sz="6" w:space="0"/>
            </w:tcBorders>
            <w:vAlign w:val="center"/>
          </w:tcPr>
          <w:p>
            <w:pPr>
              <w:widowControl/>
              <w:spacing w:line="360" w:lineRule="exact"/>
              <w:jc w:val="center"/>
              <w:textAlignment w:val="center"/>
              <w:rPr>
                <w:rFonts w:eastAsia="仿宋_GB2312"/>
                <w:kern w:val="0"/>
                <w:sz w:val="24"/>
              </w:rPr>
            </w:pP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出口总额</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9.99</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18.13</w:t>
            </w:r>
          </w:p>
        </w:tc>
        <w:tc>
          <w:tcPr>
            <w:tcW w:w="2046" w:type="dxa"/>
            <w:tcBorders>
              <w:top w:val="single" w:color="auto" w:sz="6" w:space="0"/>
              <w:left w:val="single" w:color="auto" w:sz="6" w:space="0"/>
              <w:bottom w:val="single" w:color="auto" w:sz="6" w:space="0"/>
              <w:right w:val="single" w:color="auto" w:sz="4" w:space="0"/>
            </w:tcBorders>
            <w:vAlign w:val="center"/>
          </w:tcPr>
          <w:p>
            <w:pPr>
              <w:widowControl/>
              <w:spacing w:line="360" w:lineRule="exact"/>
              <w:jc w:val="center"/>
              <w:textAlignment w:val="center"/>
              <w:rPr>
                <w:rFonts w:eastAsia="仿宋_GB2312"/>
                <w:sz w:val="24"/>
              </w:rPr>
            </w:pPr>
            <w:r>
              <w:rPr>
                <w:rFonts w:eastAsia="仿宋_GB2312"/>
                <w:sz w:val="24"/>
              </w:rPr>
              <w:t>81.42</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eastAsia="仿宋_GB2312"/>
                <w:sz w:val="24"/>
              </w:rPr>
            </w:pPr>
            <w:r>
              <w:rPr>
                <w:rFonts w:eastAsia="仿宋_GB2312"/>
                <w:sz w:val="24"/>
              </w:rPr>
              <w:t>18.5</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eastAsia="仿宋_GB2312"/>
                <w:sz w:val="24"/>
              </w:rPr>
            </w:pPr>
            <w:r>
              <w:rPr>
                <w:rFonts w:eastAsia="仿宋_GB2312"/>
                <w:sz w:val="24"/>
              </w:rPr>
              <w:t>2</w:t>
            </w:r>
          </w:p>
        </w:tc>
      </w:tr>
      <w:tr>
        <w:tblPrEx>
          <w:tblCellMar>
            <w:top w:w="0" w:type="dxa"/>
            <w:left w:w="30" w:type="dxa"/>
            <w:bottom w:w="0" w:type="dxa"/>
            <w:right w:w="30" w:type="dxa"/>
          </w:tblCellMar>
        </w:tblPrEx>
        <w:trPr>
          <w:trHeight w:val="412"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实际使用外商直接投资额</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万美元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4358</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814（现汇）</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13.21</w:t>
            </w:r>
          </w:p>
        </w:tc>
        <w:tc>
          <w:tcPr>
            <w:tcW w:w="1099" w:type="dxa"/>
            <w:tcBorders>
              <w:top w:val="single" w:color="auto" w:sz="4"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900</w:t>
            </w:r>
          </w:p>
        </w:tc>
        <w:tc>
          <w:tcPr>
            <w:tcW w:w="2171" w:type="dxa"/>
            <w:tcBorders>
              <w:top w:val="single" w:color="auto" w:sz="4"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10.57</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实际利用省外2000万元以上项目资金</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25.99</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28.55</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9.85</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30.97</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8.5</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left"/>
              <w:textAlignment w:val="center"/>
              <w:rPr>
                <w:rFonts w:eastAsia="仿宋_GB2312"/>
                <w:bCs/>
                <w:sz w:val="24"/>
              </w:rPr>
            </w:pPr>
            <w:r>
              <w:rPr>
                <w:rStyle w:val="16"/>
                <w:rFonts w:hint="default" w:eastAsia="仿宋_GB2312"/>
                <w:b w:val="0"/>
                <w:bCs/>
              </w:rPr>
              <w:t>六、收入水平</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城镇居民人均可支配收入</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30270</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31914</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5.4</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34467</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8</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农村居民人均可支配收入</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13545</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14792</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9.2</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16271</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10</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城乡居民人均可支配收入比</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2.23</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2.16</w:t>
            </w:r>
          </w:p>
        </w:tc>
        <w:tc>
          <w:tcPr>
            <w:tcW w:w="204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下降0.07个百分点</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2.11</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下降0.05个百分点</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left"/>
              <w:rPr>
                <w:rFonts w:eastAsia="仿宋_GB2312"/>
                <w:kern w:val="0"/>
                <w:sz w:val="24"/>
              </w:rPr>
            </w:pPr>
            <w:r>
              <w:rPr>
                <w:rStyle w:val="16"/>
                <w:rFonts w:hint="default" w:eastAsia="仿宋_GB2312"/>
                <w:b w:val="0"/>
                <w:bCs/>
              </w:rPr>
              <w:t>七、人口、就业和社会保障</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204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人口年末达到数</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人</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408406</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409176</w:t>
            </w:r>
          </w:p>
        </w:tc>
        <w:tc>
          <w:tcPr>
            <w:tcW w:w="204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410000</w:t>
            </w:r>
          </w:p>
        </w:tc>
        <w:tc>
          <w:tcPr>
            <w:tcW w:w="217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人口自然增长率</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4.75</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3.97</w:t>
            </w:r>
          </w:p>
        </w:tc>
        <w:tc>
          <w:tcPr>
            <w:tcW w:w="204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下降0.78个千分点</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3.21</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下降0.76个千分点</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城镇新增就业人数</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人</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2832</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2453</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-13.38</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2600</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6</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参加城镇职工基本养老保险人数</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万人</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4.99</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5.25</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5.21</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5.51</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参加基本医疗保险人数</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人</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371292</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367172</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-1.11</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354828</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-3.36</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参加城镇失业保险人数</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万人</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1.52</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1.64</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7.9</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1.67</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1.8</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b/>
                <w:sz w:val="24"/>
              </w:rPr>
            </w:pPr>
            <w:r>
              <w:rPr>
                <w:rFonts w:eastAsia="仿宋_GB2312"/>
                <w:kern w:val="0"/>
                <w:sz w:val="24"/>
              </w:rPr>
              <w:t>参加城乡居民基本社会养老保险人数</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万人</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15.02</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17.13</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14</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17.50</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2.11</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b/>
                <w:sz w:val="24"/>
              </w:rPr>
            </w:pPr>
            <w:r>
              <w:rPr>
                <w:rFonts w:eastAsia="仿宋_GB2312"/>
                <w:kern w:val="0"/>
                <w:sz w:val="24"/>
              </w:rPr>
              <w:t>城镇居民最低生活保障人数</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人</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1203</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1169</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-2.8</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1200</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2.6</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b/>
                <w:sz w:val="24"/>
              </w:rPr>
            </w:pPr>
            <w:r>
              <w:rPr>
                <w:rFonts w:eastAsia="仿宋_GB2312"/>
                <w:kern w:val="0"/>
                <w:sz w:val="24"/>
              </w:rPr>
              <w:t>农村居民最低生活保障人数</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人</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9936</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11843</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19.19</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12000</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1.33</w:t>
            </w:r>
          </w:p>
        </w:tc>
      </w:tr>
      <w:tr>
        <w:tblPrEx>
          <w:tblCellMar>
            <w:top w:w="0" w:type="dxa"/>
            <w:left w:w="30" w:type="dxa"/>
            <w:bottom w:w="0" w:type="dxa"/>
            <w:right w:w="30" w:type="dxa"/>
          </w:tblCellMar>
        </w:tblPrEx>
        <w:trPr>
          <w:trHeight w:val="90"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textAlignment w:val="center"/>
              <w:rPr>
                <w:rFonts w:eastAsia="仿宋_GB2312"/>
                <w:kern w:val="0"/>
                <w:sz w:val="24"/>
              </w:rPr>
            </w:pPr>
            <w:r>
              <w:rPr>
                <w:rStyle w:val="16"/>
                <w:rFonts w:hint="default" w:eastAsia="仿宋_GB2312"/>
                <w:b w:val="0"/>
                <w:bCs/>
              </w:rPr>
              <w:t>八、安全生产</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每十万工矿商贸就业人员生产安全事故</w:t>
            </w:r>
          </w:p>
          <w:p>
            <w:pPr>
              <w:widowControl/>
              <w:spacing w:line="360" w:lineRule="exact"/>
              <w:jc w:val="center"/>
              <w:textAlignment w:val="center"/>
              <w:rPr>
                <w:rFonts w:eastAsia="仿宋_GB2312"/>
                <w:sz w:val="24"/>
              </w:rPr>
            </w:pPr>
            <w:r>
              <w:rPr>
                <w:rFonts w:eastAsia="仿宋_GB2312"/>
                <w:kern w:val="0"/>
                <w:sz w:val="24"/>
              </w:rPr>
              <w:t>死亡数</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人</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1.0</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0</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w:t>
            </w:r>
          </w:p>
        </w:tc>
        <w:tc>
          <w:tcPr>
            <w:tcW w:w="3270"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确保不发生</w:t>
            </w:r>
          </w:p>
        </w:tc>
      </w:tr>
      <w:tr>
        <w:tblPrEx>
          <w:tblCellMar>
            <w:top w:w="0" w:type="dxa"/>
            <w:left w:w="30" w:type="dxa"/>
            <w:bottom w:w="0" w:type="dxa"/>
            <w:right w:w="30" w:type="dxa"/>
          </w:tblCellMar>
        </w:tblPrEx>
        <w:trPr>
          <w:trHeight w:val="425"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每十万人口火灾死亡数</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人</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0</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0</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w:t>
            </w:r>
          </w:p>
        </w:tc>
        <w:tc>
          <w:tcPr>
            <w:tcW w:w="3270"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确保不发生</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textAlignment w:val="center"/>
              <w:rPr>
                <w:rFonts w:eastAsia="仿宋_GB2312"/>
                <w:kern w:val="0"/>
                <w:sz w:val="24"/>
              </w:rPr>
            </w:pPr>
            <w:r>
              <w:rPr>
                <w:rStyle w:val="16"/>
                <w:rFonts w:hint="default" w:eastAsia="仿宋_GB2312"/>
                <w:b w:val="0"/>
                <w:bCs/>
              </w:rPr>
              <w:t>九、天然气供应量</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万立方米</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257</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298.5</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16.15</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400</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34</w:t>
            </w:r>
          </w:p>
        </w:tc>
      </w:tr>
      <w:tr>
        <w:tblPrEx>
          <w:tblCellMar>
            <w:top w:w="0" w:type="dxa"/>
            <w:left w:w="30" w:type="dxa"/>
            <w:bottom w:w="0" w:type="dxa"/>
            <w:right w:w="30" w:type="dxa"/>
          </w:tblCellMar>
        </w:tblPrEx>
        <w:trPr>
          <w:trHeight w:val="90"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其中：长输管道天然气供应量</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万立方米</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0</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20.85</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 xml:space="preserve">      槽车调入天然气供应量</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万立方米</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257</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278</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8.2</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w:t>
            </w:r>
          </w:p>
        </w:tc>
      </w:tr>
      <w:tr>
        <w:tblPrEx>
          <w:tblCellMar>
            <w:top w:w="0" w:type="dxa"/>
            <w:left w:w="30" w:type="dxa"/>
            <w:bottom w:w="0" w:type="dxa"/>
            <w:right w:w="30" w:type="dxa"/>
          </w:tblCellMar>
        </w:tblPrEx>
        <w:trPr>
          <w:trHeight w:val="90"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textAlignment w:val="center"/>
              <w:rPr>
                <w:rFonts w:eastAsia="仿宋_GB2312"/>
                <w:kern w:val="0"/>
                <w:sz w:val="24"/>
              </w:rPr>
            </w:pPr>
            <w:r>
              <w:rPr>
                <w:rStyle w:val="16"/>
                <w:rFonts w:hint="default" w:eastAsia="仿宋_GB2312"/>
                <w:b w:val="0"/>
                <w:bCs/>
              </w:rPr>
              <w:t>十、工业和信息化</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规上工业增加值增速</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11.6</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8.9</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下降2.7个百分点</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9</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提高0.1个百分点</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规上工业主营业务收入</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52.51</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70.33</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32.5</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100</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42.2</w:t>
            </w:r>
          </w:p>
        </w:tc>
      </w:tr>
      <w:tr>
        <w:tblPrEx>
          <w:tblCellMar>
            <w:top w:w="0" w:type="dxa"/>
            <w:left w:w="30" w:type="dxa"/>
            <w:bottom w:w="0" w:type="dxa"/>
            <w:right w:w="30" w:type="dxa"/>
          </w:tblCellMar>
        </w:tblPrEx>
        <w:trPr>
          <w:trHeight w:val="90"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规上工业利润总额</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5.38</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7.3</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35.2</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10.6</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45.2</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Style w:val="17"/>
                <w:rFonts w:hint="default"/>
              </w:rPr>
            </w:pPr>
            <w:r>
              <w:rPr>
                <w:rStyle w:val="17"/>
                <w:rFonts w:hint="default"/>
              </w:rPr>
              <w:t>园区营业收入</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万元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529320</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733176</w:t>
            </w:r>
          </w:p>
        </w:tc>
        <w:tc>
          <w:tcPr>
            <w:tcW w:w="204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36.54</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1000000</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36.39</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园区实现利润总额</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万元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54387</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78300</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43.96</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100000</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27.7</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园区亩均税收</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万元/亩</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8.99</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8.67</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-3.56</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9.3</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7.2</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left"/>
              <w:textAlignment w:val="center"/>
              <w:rPr>
                <w:rFonts w:eastAsia="仿宋_GB2312"/>
                <w:sz w:val="24"/>
              </w:rPr>
            </w:pPr>
            <w:r>
              <w:rPr>
                <w:rStyle w:val="17"/>
                <w:rFonts w:hint="default"/>
              </w:rPr>
              <w:t>十一、农业农村</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县乡村公路建设</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公里</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1848.7</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1930.7</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4.4</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2017.136</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4.48</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农村自来水普及率</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83.99</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86.35</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提高2.36个百分点</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87.34</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提高0.99个百分点</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建设高标准农田</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万亩</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3.5</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3.0</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-14.29</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3.5</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16.67</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粮食总产量</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吨</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97600</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97692</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0.09</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109000</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11.57</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粮食播种面积</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万亩</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35.28</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36.165</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2.51</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36.17</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0.14</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肉类总产量</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吨</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41066</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53606</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30.55</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56400</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5.21</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其中：生猪出栏</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万头</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40.16</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44.8</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11.69</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46.5</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3.79</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油料产量</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吨</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2805</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2138</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-23.78</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2150</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0.56</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蔬菜产量</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吨</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86000</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86000</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0</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87000</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1.16</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蔬菜种植面积</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万亩</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5.8</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5.8</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0</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5.9</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1.72</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烟叶产量</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吨</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1956.82</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2014.5</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2.95</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2025</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0.52</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烟叶种植面积</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万亩</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1.448</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1.57</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8.4</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1.58</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0.64</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脐橙产量</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吨</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98000</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150000</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53.06</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195800</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30.53</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脐橙种植总面积</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万亩</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25.57</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26.63</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4.1</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27.23</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highlight w:val="yellow"/>
              </w:rPr>
            </w:pPr>
            <w:r>
              <w:rPr>
                <w:rFonts w:eastAsia="仿宋_GB2312"/>
                <w:sz w:val="24"/>
              </w:rPr>
              <w:t>2.25</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其中：新增脐橙复产面积</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万亩</w:t>
            </w:r>
          </w:p>
        </w:tc>
        <w:tc>
          <w:tcPr>
            <w:tcW w:w="135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highlight w:val="yellow"/>
              </w:rPr>
            </w:pPr>
            <w:r>
              <w:rPr>
                <w:rFonts w:eastAsia="仿宋_GB2312"/>
                <w:sz w:val="24"/>
              </w:rPr>
              <w:t>1.516</w:t>
            </w:r>
          </w:p>
        </w:tc>
        <w:tc>
          <w:tcPr>
            <w:tcW w:w="13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1.056</w:t>
            </w:r>
          </w:p>
        </w:tc>
        <w:tc>
          <w:tcPr>
            <w:tcW w:w="204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-30.34</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0.6</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-43.18</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Style w:val="17"/>
                <w:rFonts w:hint="default"/>
              </w:rPr>
            </w:pPr>
            <w:r>
              <w:rPr>
                <w:rStyle w:val="17"/>
                <w:rFonts w:hint="default"/>
              </w:rPr>
              <w:t>改造低质低效林面积</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万亩</w:t>
            </w:r>
          </w:p>
        </w:tc>
        <w:tc>
          <w:tcPr>
            <w:tcW w:w="135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13.77</w:t>
            </w:r>
          </w:p>
        </w:tc>
        <w:tc>
          <w:tcPr>
            <w:tcW w:w="13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6.54</w:t>
            </w:r>
          </w:p>
        </w:tc>
        <w:tc>
          <w:tcPr>
            <w:tcW w:w="204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-52.5</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6.42</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-0.12</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left"/>
              <w:textAlignment w:val="center"/>
              <w:rPr>
                <w:rFonts w:eastAsia="仿宋_GB2312"/>
                <w:sz w:val="24"/>
              </w:rPr>
            </w:pPr>
            <w:r>
              <w:rPr>
                <w:rStyle w:val="16"/>
                <w:rFonts w:hint="default" w:eastAsia="仿宋_GB2312"/>
                <w:b w:val="0"/>
                <w:bCs/>
              </w:rPr>
              <w:t>十二、服务业</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13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c>
          <w:tcPr>
            <w:tcW w:w="204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规模以上服务业营业收入</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sz w:val="24"/>
              </w:rPr>
            </w:pPr>
            <w:r>
              <w:rPr>
                <w:rFonts w:eastAsia="仿宋_GB2312"/>
                <w:kern w:val="0"/>
                <w:sz w:val="24"/>
              </w:rPr>
              <w:t>2.60</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3.08</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16.4</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3.5</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13.6</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旅游接待总人次</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万人次</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521.6</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1164</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89.6</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1500</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28.9</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旅游总收入</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41.65</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73.6</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80.3</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100</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35.7</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金融机构存款余额</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163.18</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188.76</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15.47</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214.76</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13.77</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金融机构贷款余额</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190.47</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215.5</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13.14</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242.5</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12.53</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保费收入</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1.89</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3.03</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12</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3.1</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2.3</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电信业务收入</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万元</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5090</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5263</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3.39</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6217</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16.4</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邮政业务收入</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万元</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rPr>
            </w:pPr>
            <w:r>
              <w:rPr>
                <w:rFonts w:eastAsia="仿宋_GB2312"/>
                <w:kern w:val="0"/>
                <w:sz w:val="24"/>
              </w:rPr>
              <w:t>1097.4</w:t>
            </w:r>
          </w:p>
        </w:tc>
        <w:tc>
          <w:tcPr>
            <w:tcW w:w="1377" w:type="dxa"/>
            <w:tcBorders>
              <w:top w:val="single" w:color="auto" w:sz="6" w:space="0"/>
              <w:left w:val="single" w:color="auto" w:sz="6" w:space="0"/>
              <w:bottom w:val="single" w:color="auto" w:sz="6" w:space="0"/>
              <w:right w:val="single" w:color="auto" w:sz="6" w:space="0"/>
            </w:tcBorders>
            <w:vAlign w:val="center"/>
          </w:tcPr>
          <w:p>
            <w:pPr>
              <w:pStyle w:val="2"/>
              <w:ind w:firstLine="0" w:firstLineChars="0"/>
              <w:jc w:val="center"/>
              <w:rPr>
                <w:rFonts w:ascii="Times New Roman" w:hAnsi="Times New Roman" w:eastAsia="仿宋_GB2312"/>
              </w:rPr>
            </w:pPr>
            <w:r>
              <w:rPr>
                <w:rFonts w:ascii="Times New Roman" w:hAnsi="Times New Roman" w:eastAsia="仿宋_GB2312"/>
                <w:kern w:val="0"/>
                <w:sz w:val="24"/>
              </w:rPr>
              <w:t>981.6</w:t>
            </w:r>
          </w:p>
        </w:tc>
        <w:tc>
          <w:tcPr>
            <w:tcW w:w="2046" w:type="dxa"/>
            <w:tcBorders>
              <w:top w:val="single" w:color="auto" w:sz="6" w:space="0"/>
              <w:left w:val="single" w:color="auto" w:sz="6" w:space="0"/>
              <w:bottom w:val="single" w:color="auto" w:sz="6" w:space="0"/>
              <w:right w:val="single" w:color="auto" w:sz="6" w:space="0"/>
            </w:tcBorders>
            <w:vAlign w:val="center"/>
          </w:tcPr>
          <w:p>
            <w:pPr>
              <w:pStyle w:val="2"/>
              <w:ind w:firstLine="0" w:firstLineChars="0"/>
              <w:jc w:val="center"/>
              <w:rPr>
                <w:rFonts w:ascii="Times New Roman" w:hAnsi="Times New Roman" w:eastAsia="仿宋_GB2312"/>
              </w:rPr>
            </w:pPr>
            <w:r>
              <w:rPr>
                <w:rFonts w:ascii="Times New Roman" w:hAnsi="Times New Roman" w:eastAsia="仿宋_GB2312"/>
                <w:kern w:val="0"/>
                <w:sz w:val="24"/>
              </w:rPr>
              <w:t>-10.55</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rPr>
            </w:pPr>
            <w:r>
              <w:rPr>
                <w:rFonts w:eastAsia="仿宋_GB2312"/>
                <w:kern w:val="0"/>
                <w:sz w:val="24"/>
              </w:rPr>
              <w:t>1030.68</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rPr>
            </w:pPr>
            <w:r>
              <w:rPr>
                <w:rFonts w:eastAsia="仿宋_GB2312"/>
                <w:kern w:val="0"/>
                <w:sz w:val="24"/>
              </w:rPr>
              <w:t>5</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kern w:val="0"/>
                <w:sz w:val="24"/>
              </w:rPr>
              <w:t>电商销售额</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28</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25</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-10.7</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27</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8</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left"/>
              <w:textAlignment w:val="center"/>
              <w:rPr>
                <w:rFonts w:eastAsia="仿宋_GB2312"/>
                <w:sz w:val="24"/>
              </w:rPr>
            </w:pPr>
            <w:r>
              <w:rPr>
                <w:rStyle w:val="16"/>
                <w:rFonts w:hint="default" w:eastAsia="仿宋_GB2312"/>
                <w:b w:val="0"/>
                <w:bCs/>
              </w:rPr>
              <w:t>十三、城镇化</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p>
        </w:tc>
        <w:tc>
          <w:tcPr>
            <w:tcW w:w="135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c>
          <w:tcPr>
            <w:tcW w:w="13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c>
          <w:tcPr>
            <w:tcW w:w="204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常住人口城镇化率</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47.21</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47.82</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提高0.61个百分点</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48.42</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提高0.6个百分点</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县政府所在城区公共绿地面积</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万平方米</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526.3</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559</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6.21</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600</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7.33</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left"/>
              <w:textAlignment w:val="center"/>
              <w:rPr>
                <w:rFonts w:eastAsia="仿宋_GB2312"/>
                <w:sz w:val="24"/>
              </w:rPr>
            </w:pPr>
            <w:r>
              <w:rPr>
                <w:rStyle w:val="16"/>
                <w:rFonts w:hint="default" w:eastAsia="仿宋_GB2312"/>
                <w:b w:val="0"/>
                <w:bCs/>
              </w:rPr>
              <w:t>十四、科技与创新</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p>
        </w:tc>
        <w:tc>
          <w:tcPr>
            <w:tcW w:w="135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c>
          <w:tcPr>
            <w:tcW w:w="13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c>
          <w:tcPr>
            <w:tcW w:w="204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p>
        </w:tc>
      </w:tr>
      <w:tr>
        <w:tblPrEx>
          <w:tblCellMar>
            <w:top w:w="0" w:type="dxa"/>
            <w:left w:w="30" w:type="dxa"/>
            <w:bottom w:w="0" w:type="dxa"/>
            <w:right w:w="30" w:type="dxa"/>
          </w:tblCellMar>
        </w:tblPrEx>
        <w:trPr>
          <w:trHeight w:val="355"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全社会研发经费投入</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kern w:val="0"/>
                <w:sz w:val="24"/>
              </w:rPr>
              <w:t>1.32</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预计1.78</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34.85</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2.10</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17.98</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Style w:val="17"/>
                <w:rFonts w:hint="default"/>
              </w:rPr>
            </w:pPr>
            <w:r>
              <w:rPr>
                <w:rStyle w:val="17"/>
                <w:rFonts w:hint="default"/>
              </w:rPr>
              <w:t>R&amp;D经费占GDP比重</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w:t>
            </w:r>
          </w:p>
        </w:tc>
        <w:tc>
          <w:tcPr>
            <w:tcW w:w="135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1.29</w:t>
            </w:r>
          </w:p>
        </w:tc>
        <w:tc>
          <w:tcPr>
            <w:tcW w:w="1377"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预计1.60</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提高0.31个百分点</w:t>
            </w:r>
          </w:p>
        </w:tc>
        <w:tc>
          <w:tcPr>
            <w:tcW w:w="1099"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1.75</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提高0.15个百分点</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Style w:val="17"/>
                <w:rFonts w:hint="default"/>
              </w:rPr>
            </w:pPr>
            <w:r>
              <w:rPr>
                <w:rStyle w:val="17"/>
                <w:rFonts w:hint="default"/>
              </w:rPr>
              <w:t>技术合同成交额</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亿元</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3.5115</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预计4.27</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21.65</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5.14</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20.37</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Style w:val="17"/>
                <w:rFonts w:hint="default"/>
              </w:rPr>
            </w:pPr>
            <w:r>
              <w:rPr>
                <w:rStyle w:val="17"/>
                <w:rFonts w:hint="default"/>
              </w:rPr>
              <w:t>发明专利授权量</w:t>
            </w:r>
          </w:p>
        </w:tc>
        <w:tc>
          <w:tcPr>
            <w:tcW w:w="14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件</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7</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75</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8</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14.2</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left"/>
              <w:textAlignment w:val="center"/>
              <w:rPr>
                <w:rFonts w:eastAsia="仿宋_GB2312"/>
                <w:bCs/>
                <w:sz w:val="24"/>
              </w:rPr>
            </w:pPr>
            <w:r>
              <w:rPr>
                <w:rStyle w:val="16"/>
                <w:rFonts w:hint="default" w:eastAsia="仿宋_GB2312"/>
                <w:b w:val="0"/>
                <w:bCs/>
              </w:rPr>
              <w:t>十五、教育和文体事业</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sz w:val="24"/>
              </w:rPr>
            </w:pP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kern w:val="0"/>
                <w:sz w:val="24"/>
              </w:rPr>
              <w:t>普通高中招生数</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kern w:val="0"/>
                <w:sz w:val="24"/>
              </w:rPr>
              <w:t>人</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3434</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3970</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15.61</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3900</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-1.76</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职业高中招生数</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kern w:val="0"/>
                <w:sz w:val="24"/>
              </w:rPr>
              <w:t>人</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1646</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1319</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-19.65</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 2273</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72.33</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普通初中招生数</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kern w:val="0"/>
                <w:sz w:val="24"/>
              </w:rPr>
              <w:t>人</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6669</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5998</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-10.06</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5824</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-2.9</w:t>
            </w:r>
          </w:p>
        </w:tc>
      </w:tr>
      <w:tr>
        <w:tblPrEx>
          <w:tblCellMar>
            <w:top w:w="0" w:type="dxa"/>
            <w:left w:w="30" w:type="dxa"/>
            <w:bottom w:w="0" w:type="dxa"/>
            <w:right w:w="30" w:type="dxa"/>
          </w:tblCellMar>
        </w:tblPrEx>
        <w:trPr>
          <w:trHeight w:val="411"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小学招生数</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kern w:val="0"/>
                <w:sz w:val="24"/>
              </w:rPr>
              <w:t>人</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4994</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4620</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-7.49</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5578</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20.74</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高中阶段教育毛入学率</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91.74</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93.6</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spacing w:line="360" w:lineRule="exact"/>
              <w:jc w:val="center"/>
              <w:rPr>
                <w:rFonts w:eastAsia="仿宋_GB2312"/>
                <w:kern w:val="0"/>
                <w:sz w:val="24"/>
              </w:rPr>
            </w:pPr>
            <w:r>
              <w:rPr>
                <w:rFonts w:eastAsia="仿宋_GB2312"/>
                <w:kern w:val="0"/>
                <w:sz w:val="24"/>
              </w:rPr>
              <w:t>提高1.86个百分点</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93.87</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spacing w:line="360" w:lineRule="exact"/>
              <w:jc w:val="center"/>
              <w:rPr>
                <w:rFonts w:eastAsia="仿宋_GB2312"/>
                <w:kern w:val="0"/>
                <w:sz w:val="24"/>
              </w:rPr>
            </w:pPr>
            <w:r>
              <w:rPr>
                <w:rFonts w:eastAsia="仿宋_GB2312"/>
                <w:kern w:val="0"/>
                <w:sz w:val="24"/>
              </w:rPr>
              <w:t>提高0.27个百分点</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bCs/>
                <w:sz w:val="24"/>
              </w:rPr>
            </w:pPr>
            <w:r>
              <w:rPr>
                <w:rStyle w:val="17"/>
                <w:rFonts w:hint="default"/>
              </w:rPr>
              <w:t>九年义务教育巩固率</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98.57</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98.68</w:t>
            </w:r>
          </w:p>
        </w:tc>
        <w:tc>
          <w:tcPr>
            <w:tcW w:w="204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kern w:val="0"/>
                <w:sz w:val="24"/>
              </w:rPr>
            </w:pPr>
            <w:r>
              <w:rPr>
                <w:rFonts w:eastAsia="仿宋_GB2312"/>
                <w:kern w:val="0"/>
                <w:sz w:val="24"/>
              </w:rPr>
              <w:t>提高0.11个百分点</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98.89</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spacing w:line="360" w:lineRule="exact"/>
              <w:jc w:val="center"/>
              <w:rPr>
                <w:rFonts w:eastAsia="仿宋_GB2312"/>
                <w:kern w:val="0"/>
                <w:sz w:val="24"/>
              </w:rPr>
            </w:pPr>
            <w:r>
              <w:rPr>
                <w:rFonts w:eastAsia="仿宋_GB2312"/>
                <w:kern w:val="0"/>
                <w:sz w:val="24"/>
              </w:rPr>
              <w:t>提高0.21个百分点</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公办幼儿园在幼儿园占比</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53.7</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56.3</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提高2.6个百分点</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56.5</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spacing w:line="360" w:lineRule="exact"/>
              <w:jc w:val="center"/>
              <w:rPr>
                <w:rFonts w:eastAsia="仿宋_GB2312"/>
                <w:kern w:val="0"/>
                <w:sz w:val="24"/>
              </w:rPr>
            </w:pPr>
            <w:r>
              <w:rPr>
                <w:rFonts w:eastAsia="仿宋_GB2312"/>
                <w:kern w:val="0"/>
                <w:sz w:val="24"/>
              </w:rPr>
              <w:t>提高0.2个百分点</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新增体育场地</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个</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1204</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1218</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1.26</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1230</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1.25</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公共图书馆流通总人次</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千人次</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39.9</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14.8</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20.5</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博物馆参观总人次</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千人次</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28.3</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111.2</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65</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left"/>
              <w:textAlignment w:val="center"/>
              <w:rPr>
                <w:rFonts w:eastAsia="仿宋_GB2312"/>
                <w:sz w:val="24"/>
              </w:rPr>
            </w:pPr>
            <w:r>
              <w:rPr>
                <w:rStyle w:val="16"/>
                <w:rFonts w:hint="default" w:eastAsia="仿宋_GB2312"/>
                <w:b w:val="0"/>
                <w:bCs/>
              </w:rPr>
              <w:t>十六、卫生和社区福利</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每千人口医疗卫生机构床位数</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张</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6.42</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6.44</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0.2</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6.88</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4.4</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每千人口执业（助理）医师数</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人</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1.26</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2.52</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12.6</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2.61</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0.9</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每千名老人拥有养老床位数</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张</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highlight w:val="yellow"/>
              </w:rPr>
            </w:pPr>
            <w:r>
              <w:rPr>
                <w:rFonts w:eastAsia="仿宋_GB2312"/>
                <w:kern w:val="0"/>
                <w:sz w:val="24"/>
              </w:rPr>
              <w:t>44</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highlight w:val="yellow"/>
              </w:rPr>
            </w:pPr>
            <w:r>
              <w:rPr>
                <w:rFonts w:eastAsia="仿宋_GB2312"/>
                <w:kern w:val="0"/>
                <w:sz w:val="24"/>
              </w:rPr>
              <w:t>46</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highlight w:val="yellow"/>
              </w:rPr>
            </w:pPr>
            <w:r>
              <w:rPr>
                <w:rFonts w:eastAsia="仿宋_GB2312"/>
                <w:kern w:val="0"/>
                <w:sz w:val="24"/>
              </w:rPr>
              <w:t>4.5</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highlight w:val="yellow"/>
              </w:rPr>
            </w:pPr>
            <w:r>
              <w:rPr>
                <w:rFonts w:eastAsia="仿宋_GB2312"/>
                <w:kern w:val="0"/>
                <w:sz w:val="24"/>
              </w:rPr>
              <w:t>47</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highlight w:val="yellow"/>
              </w:rPr>
            </w:pPr>
            <w:r>
              <w:rPr>
                <w:rFonts w:eastAsia="仿宋_GB2312"/>
                <w:kern w:val="0"/>
                <w:sz w:val="24"/>
              </w:rPr>
              <w:t>2</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left"/>
              <w:textAlignment w:val="center"/>
              <w:rPr>
                <w:rFonts w:eastAsia="仿宋_GB2312"/>
                <w:sz w:val="24"/>
              </w:rPr>
            </w:pPr>
            <w:r>
              <w:rPr>
                <w:rStyle w:val="16"/>
                <w:rFonts w:hint="default" w:eastAsia="仿宋_GB2312"/>
                <w:b w:val="0"/>
                <w:bCs/>
              </w:rPr>
              <w:t>十七、土地利用与人防</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p>
        </w:tc>
        <w:tc>
          <w:tcPr>
            <w:tcW w:w="135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c>
          <w:tcPr>
            <w:tcW w:w="13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c>
          <w:tcPr>
            <w:tcW w:w="204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c>
          <w:tcPr>
            <w:tcW w:w="109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c>
          <w:tcPr>
            <w:tcW w:w="217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新增建设用地</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亩</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960.02</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410.46</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-0.57</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2383</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4.8</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其中：农用地</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亩</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782.22</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392.33</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-0.49</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1856</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3.73</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其中：耕地</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亩</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330.75</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102.85</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0.68</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558</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4.42</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耕地保有量</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万亩</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25.39</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21.58</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c>
          <w:tcPr>
            <w:tcW w:w="3270"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sz w:val="24"/>
              </w:rPr>
              <w:t>完成上级下达任务</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人防工程新增面积</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平方米</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1625</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13858</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752.80</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11000</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-20.62</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textAlignment w:val="center"/>
              <w:rPr>
                <w:rFonts w:eastAsia="仿宋_GB2312"/>
                <w:b/>
                <w:sz w:val="24"/>
              </w:rPr>
            </w:pPr>
            <w:r>
              <w:rPr>
                <w:rStyle w:val="16"/>
                <w:rFonts w:hint="default" w:eastAsia="仿宋_GB2312"/>
                <w:b w:val="0"/>
                <w:bCs/>
              </w:rPr>
              <w:t>十八、资源节约和环境保护</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p>
        </w:tc>
        <w:tc>
          <w:tcPr>
            <w:tcW w:w="135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c>
          <w:tcPr>
            <w:tcW w:w="13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c>
          <w:tcPr>
            <w:tcW w:w="204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c>
          <w:tcPr>
            <w:tcW w:w="109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c>
          <w:tcPr>
            <w:tcW w:w="217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Style w:val="17"/>
                <w:rFonts w:hint="default"/>
              </w:rPr>
              <w:t>每万元生产总值能耗</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kern w:val="0"/>
                <w:sz w:val="24"/>
              </w:rPr>
              <w:t>吨标准煤</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0.2233</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0.2179</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-2.24</w:t>
            </w:r>
          </w:p>
        </w:tc>
        <w:tc>
          <w:tcPr>
            <w:tcW w:w="3270"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完成上级下达任务</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kern w:val="0"/>
                <w:sz w:val="24"/>
              </w:rPr>
              <w:t>每万元生产总值二氧化碳排放量</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kern w:val="0"/>
                <w:sz w:val="24"/>
              </w:rPr>
              <w:t>吨</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0.026</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0.023</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0.022</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kern w:val="0"/>
                <w:sz w:val="24"/>
              </w:rPr>
              <w:t>工业固体废弃物综合利用率</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kern w:val="0"/>
                <w:sz w:val="24"/>
              </w:rPr>
              <w:t>%</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94</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96</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提高2个百分点</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96.5</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提高0.5个百分点</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细颗粒物（PM</w:t>
            </w:r>
            <w:r>
              <w:rPr>
                <w:rFonts w:eastAsia="仿宋_GB2312"/>
                <w:kern w:val="0"/>
                <w:sz w:val="24"/>
                <w:vertAlign w:val="subscript"/>
              </w:rPr>
              <w:t>2.5</w:t>
            </w:r>
            <w:r>
              <w:rPr>
                <w:rFonts w:eastAsia="仿宋_GB2312"/>
                <w:kern w:val="0"/>
                <w:sz w:val="24"/>
              </w:rPr>
              <w:t>）年均浓度</w:t>
            </w:r>
          </w:p>
        </w:tc>
        <w:tc>
          <w:tcPr>
            <w:tcW w:w="1485"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kern w:val="0"/>
                <w:sz w:val="24"/>
              </w:rPr>
              <w:t>微克/立方米</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14</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16</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17</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kern w:val="0"/>
                <w:sz w:val="24"/>
              </w:rPr>
              <w:t>城市生活污水集中处理率</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kern w:val="0"/>
                <w:sz w:val="24"/>
              </w:rPr>
              <w:t>%</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92.65</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93.65</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kern w:val="0"/>
                <w:sz w:val="24"/>
              </w:rPr>
              <w:t>提高1个百分点</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95</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sz w:val="24"/>
              </w:rPr>
            </w:pPr>
            <w:r>
              <w:rPr>
                <w:rFonts w:eastAsia="仿宋_GB2312"/>
                <w:kern w:val="0"/>
                <w:sz w:val="24"/>
              </w:rPr>
              <w:t>提高</w:t>
            </w:r>
            <w:r>
              <w:rPr>
                <w:rFonts w:eastAsia="仿宋_GB2312"/>
                <w:sz w:val="24"/>
              </w:rPr>
              <w:t>1.35</w:t>
            </w:r>
            <w:r>
              <w:rPr>
                <w:rFonts w:eastAsia="仿宋_GB2312"/>
                <w:kern w:val="0"/>
                <w:sz w:val="24"/>
              </w:rPr>
              <w:t>个百分点</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城市生活垃圾无害化处理率</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100</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100</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持平</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100</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持平</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农村生活垃圾无害化处理率</w:t>
            </w:r>
          </w:p>
        </w:tc>
        <w:tc>
          <w:tcPr>
            <w:tcW w:w="148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98</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100</w:t>
            </w:r>
          </w:p>
        </w:tc>
        <w:tc>
          <w:tcPr>
            <w:tcW w:w="2046"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提高2个百分点</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100</w:t>
            </w:r>
          </w:p>
        </w:tc>
        <w:tc>
          <w:tcPr>
            <w:tcW w:w="21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持平</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空气质量优良天数比例</w:t>
            </w:r>
          </w:p>
        </w:tc>
        <w:tc>
          <w:tcPr>
            <w:tcW w:w="1485"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kern w:val="0"/>
                <w:sz w:val="24"/>
              </w:rPr>
              <w:t>%</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100</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99.2</w:t>
            </w:r>
          </w:p>
        </w:tc>
        <w:tc>
          <w:tcPr>
            <w:tcW w:w="204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下降0.8</w:t>
            </w:r>
            <w:r>
              <w:rPr>
                <w:rFonts w:eastAsia="仿宋_GB2312"/>
                <w:kern w:val="0"/>
                <w:sz w:val="24"/>
              </w:rPr>
              <w:t>个百分点</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99.4</w:t>
            </w:r>
          </w:p>
        </w:tc>
        <w:tc>
          <w:tcPr>
            <w:tcW w:w="217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提高0.2个百分点</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主要河流断面水质优良率</w:t>
            </w:r>
          </w:p>
        </w:tc>
        <w:tc>
          <w:tcPr>
            <w:tcW w:w="1485"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kern w:val="0"/>
                <w:sz w:val="24"/>
              </w:rPr>
              <w:t>%</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100</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100</w:t>
            </w:r>
          </w:p>
        </w:tc>
        <w:tc>
          <w:tcPr>
            <w:tcW w:w="204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持平</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100</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sz w:val="24"/>
              </w:rPr>
            </w:pPr>
            <w:r>
              <w:rPr>
                <w:rFonts w:eastAsia="仿宋_GB2312"/>
                <w:sz w:val="24"/>
              </w:rPr>
              <w:t>持平</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新增水土流失综合治理面积</w:t>
            </w:r>
          </w:p>
        </w:tc>
        <w:tc>
          <w:tcPr>
            <w:tcW w:w="1485"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万亩</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6.2</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7.69</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1.17</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r>
      <w:tr>
        <w:tblPrEx>
          <w:tblCellMar>
            <w:top w:w="0" w:type="dxa"/>
            <w:left w:w="30" w:type="dxa"/>
            <w:bottom w:w="0" w:type="dxa"/>
            <w:right w:w="30" w:type="dxa"/>
          </w:tblCellMar>
        </w:tblPrEx>
        <w:trPr>
          <w:trHeight w:val="397" w:hRule="atLeast"/>
          <w:jc w:val="center"/>
        </w:trPr>
        <w:tc>
          <w:tcPr>
            <w:tcW w:w="44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textAlignment w:val="center"/>
              <w:rPr>
                <w:rFonts w:eastAsia="仿宋_GB2312"/>
                <w:kern w:val="0"/>
                <w:sz w:val="24"/>
              </w:rPr>
            </w:pPr>
            <w:r>
              <w:rPr>
                <w:rFonts w:eastAsia="仿宋_GB2312"/>
                <w:kern w:val="0"/>
                <w:sz w:val="24"/>
              </w:rPr>
              <w:t>新增矿山生态恢复面积</w:t>
            </w:r>
          </w:p>
        </w:tc>
        <w:tc>
          <w:tcPr>
            <w:tcW w:w="1485"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eastAsia="仿宋_GB2312"/>
                <w:sz w:val="24"/>
              </w:rPr>
            </w:pPr>
            <w:r>
              <w:rPr>
                <w:rFonts w:eastAsia="仿宋_GB2312"/>
                <w:sz w:val="24"/>
              </w:rPr>
              <w:t>亩</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223</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165</w:t>
            </w:r>
          </w:p>
        </w:tc>
        <w:tc>
          <w:tcPr>
            <w:tcW w:w="2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c>
          <w:tcPr>
            <w:tcW w:w="10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375</w:t>
            </w:r>
          </w:p>
        </w:tc>
        <w:tc>
          <w:tcPr>
            <w:tcW w:w="21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w:t>
            </w:r>
          </w:p>
        </w:tc>
      </w:tr>
    </w:tbl>
    <w:p>
      <w:pPr>
        <w:spacing w:line="560" w:lineRule="exact"/>
        <w:jc w:val="left"/>
        <w:rPr>
          <w:rFonts w:eastAsia="仿宋_GB2312"/>
          <w:sz w:val="32"/>
          <w:szCs w:val="32"/>
        </w:rPr>
      </w:pPr>
    </w:p>
    <w:p>
      <w:pPr>
        <w:rPr>
          <w:rFonts w:hint="eastAsia"/>
        </w:rPr>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418"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4</w:t>
    </w:r>
    <w:r>
      <w:rPr>
        <w:rFonts w:ascii="Times New Roman" w:hAnsi="Times New Roman"/>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2 -</w:t>
    </w:r>
    <w:r>
      <w:rPr>
        <w:rFonts w:ascii="Times New Roman" w:hAnsi="Times New Roman"/>
        <w:sz w:val="28"/>
        <w:szCs w:val="28"/>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13 -</w:t>
    </w:r>
    <w:r>
      <w:rPr>
        <w:rFonts w:ascii="Times New Roman" w:hAnsi="Times New Roman"/>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16 -</w:t>
    </w:r>
    <w:r>
      <w:rPr>
        <w:rFonts w:ascii="Times New Roman" w:hAnsi="Times New Roman"/>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Y2MWE0ODI3NzRmYTUyMmM4YTU1ZjQ4OTQ4MjYzYWUifQ=="/>
  </w:docVars>
  <w:rsids>
    <w:rsidRoot w:val="00030660"/>
    <w:rsid w:val="00030660"/>
    <w:rsid w:val="00603E78"/>
    <w:rsid w:val="008E1F9C"/>
    <w:rsid w:val="00A01574"/>
    <w:rsid w:val="40334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rPr>
  </w:style>
  <w:style w:type="paragraph" w:styleId="3">
    <w:name w:val="Body Text"/>
    <w:basedOn w:val="1"/>
    <w:link w:val="19"/>
    <w:uiPriority w:val="0"/>
    <w:pPr>
      <w:spacing w:after="120"/>
    </w:pPr>
  </w:style>
  <w:style w:type="paragraph" w:styleId="4">
    <w:name w:val="Body Text Indent"/>
    <w:basedOn w:val="1"/>
    <w:next w:val="2"/>
    <w:link w:val="12"/>
    <w:qFormat/>
    <w:uiPriority w:val="0"/>
  </w:style>
  <w:style w:type="paragraph" w:styleId="5">
    <w:name w:val="footer"/>
    <w:basedOn w:val="1"/>
    <w:link w:val="13"/>
    <w:uiPriority w:val="99"/>
    <w:pPr>
      <w:tabs>
        <w:tab w:val="center" w:pos="4153"/>
        <w:tab w:val="right" w:pos="8306"/>
      </w:tabs>
      <w:snapToGrid w:val="0"/>
      <w:jc w:val="left"/>
    </w:pPr>
    <w:rPr>
      <w:rFonts w:ascii="Calibri" w:hAnsi="Calibri"/>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Title"/>
    <w:basedOn w:val="1"/>
    <w:next w:val="1"/>
    <w:link w:val="18"/>
    <w:qFormat/>
    <w:uiPriority w:val="0"/>
    <w:pPr>
      <w:spacing w:before="240" w:after="60"/>
      <w:jc w:val="center"/>
      <w:outlineLvl w:val="0"/>
    </w:pPr>
    <w:rPr>
      <w:rFonts w:ascii="Cambria" w:hAnsi="Cambria"/>
      <w:b/>
      <w:bCs/>
      <w:sz w:val="32"/>
      <w:szCs w:val="32"/>
    </w:rPr>
  </w:style>
  <w:style w:type="paragraph" w:styleId="8">
    <w:name w:val="Body Text First Indent"/>
    <w:basedOn w:val="3"/>
    <w:link w:val="20"/>
    <w:uiPriority w:val="0"/>
    <w:pPr>
      <w:ind w:firstLine="420" w:firstLineChars="100"/>
    </w:pPr>
  </w:style>
  <w:style w:type="paragraph" w:styleId="9">
    <w:name w:val="Body Text First Indent 2"/>
    <w:basedOn w:val="4"/>
    <w:next w:val="8"/>
    <w:link w:val="15"/>
    <w:qFormat/>
    <w:uiPriority w:val="0"/>
    <w:pPr>
      <w:ind w:firstLine="420" w:firstLineChars="200"/>
    </w:pPr>
  </w:style>
  <w:style w:type="character" w:customStyle="1" w:styleId="12">
    <w:name w:val="正文文本缩进 Char"/>
    <w:basedOn w:val="11"/>
    <w:link w:val="4"/>
    <w:uiPriority w:val="0"/>
    <w:rPr>
      <w:kern w:val="2"/>
      <w:sz w:val="21"/>
      <w:szCs w:val="24"/>
    </w:rPr>
  </w:style>
  <w:style w:type="character" w:customStyle="1" w:styleId="13">
    <w:name w:val="页脚 Char"/>
    <w:basedOn w:val="11"/>
    <w:link w:val="5"/>
    <w:uiPriority w:val="99"/>
    <w:rPr>
      <w:rFonts w:ascii="Calibri" w:hAnsi="Calibri"/>
      <w:kern w:val="2"/>
      <w:sz w:val="18"/>
      <w:szCs w:val="18"/>
    </w:rPr>
  </w:style>
  <w:style w:type="character" w:customStyle="1" w:styleId="14">
    <w:name w:val="页眉 Char"/>
    <w:basedOn w:val="11"/>
    <w:link w:val="6"/>
    <w:uiPriority w:val="0"/>
    <w:rPr>
      <w:rFonts w:ascii="Calibri" w:hAnsi="Calibri"/>
      <w:kern w:val="2"/>
      <w:sz w:val="18"/>
      <w:szCs w:val="18"/>
    </w:rPr>
  </w:style>
  <w:style w:type="character" w:customStyle="1" w:styleId="15">
    <w:name w:val="正文首行缩进 2 Char"/>
    <w:basedOn w:val="12"/>
    <w:link w:val="9"/>
    <w:uiPriority w:val="0"/>
  </w:style>
  <w:style w:type="character" w:customStyle="1" w:styleId="16">
    <w:name w:val="font131"/>
    <w:basedOn w:val="11"/>
    <w:qFormat/>
    <w:uiPriority w:val="0"/>
    <w:rPr>
      <w:rFonts w:hint="eastAsia" w:ascii="黑体" w:hAnsi="宋体" w:eastAsia="黑体" w:cs="黑体"/>
      <w:b/>
      <w:color w:val="000000"/>
      <w:sz w:val="24"/>
      <w:szCs w:val="24"/>
      <w:u w:val="none"/>
    </w:rPr>
  </w:style>
  <w:style w:type="character" w:customStyle="1" w:styleId="17">
    <w:name w:val="font112"/>
    <w:basedOn w:val="11"/>
    <w:qFormat/>
    <w:uiPriority w:val="0"/>
    <w:rPr>
      <w:rFonts w:hint="eastAsia" w:ascii="仿宋_GB2312" w:eastAsia="仿宋_GB2312" w:cs="仿宋_GB2312"/>
      <w:color w:val="000000"/>
      <w:sz w:val="24"/>
      <w:szCs w:val="24"/>
      <w:u w:val="none"/>
    </w:rPr>
  </w:style>
  <w:style w:type="character" w:customStyle="1" w:styleId="18">
    <w:name w:val="标题 Char"/>
    <w:basedOn w:val="11"/>
    <w:link w:val="7"/>
    <w:uiPriority w:val="0"/>
    <w:rPr>
      <w:rFonts w:ascii="Cambria" w:hAnsi="Cambria"/>
      <w:b/>
      <w:bCs/>
      <w:kern w:val="2"/>
      <w:sz w:val="32"/>
      <w:szCs w:val="32"/>
    </w:rPr>
  </w:style>
  <w:style w:type="character" w:customStyle="1" w:styleId="19">
    <w:name w:val="正文文本 Char"/>
    <w:basedOn w:val="11"/>
    <w:link w:val="3"/>
    <w:uiPriority w:val="0"/>
    <w:rPr>
      <w:kern w:val="2"/>
      <w:sz w:val="21"/>
      <w:szCs w:val="24"/>
    </w:rPr>
  </w:style>
  <w:style w:type="character" w:customStyle="1" w:styleId="20">
    <w:name w:val="正文首行缩进 Char"/>
    <w:basedOn w:val="19"/>
    <w:link w:val="8"/>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control" Target="activeX/activeX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30"/>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6675</Words>
  <Characters>8329</Characters>
  <Lines>22</Lines>
  <Paragraphs>18</Paragraphs>
  <TotalTime>7</TotalTime>
  <ScaleCrop>false</ScaleCrop>
  <LinksUpToDate>false</LinksUpToDate>
  <CharactersWithSpaces>8358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2023-04-11T00:42:00Z</dcterms:created>
  <dc:creator>Administrator</dc:creator>
  <cp:lastModifiedBy>Administrator</cp:lastModifiedBy>
  <dcterms:modified xsi:type="dcterms:W3CDTF">2023-04-11T00:53:51Z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57F2E965C97C46169B0050B7E50CEFC9_12</vt:lpwstr>
  </property>
</Properties>
</file>